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pStyle w:val="3"/>
        <w:autoSpaceDE/>
        <w:autoSpaceDN/>
        <w:spacing w:beforeLines="0" w:afterLines="0" w:line="560" w:lineRule="exact"/>
        <w:jc w:val="left"/>
        <w:rPr>
          <w:rFonts w:ascii="黑体" w:hAnsi="黑体" w:eastAsia="黑体" w:cs="黑体"/>
          <w:b w:val="0"/>
          <w:snapToGrid w:val="0"/>
        </w:rPr>
      </w:pPr>
      <w:bookmarkStart w:id="0" w:name="_Toc25066"/>
      <w:bookmarkStart w:id="1" w:name="_Toc15201"/>
      <w:bookmarkStart w:id="2" w:name="_Toc435109057"/>
      <w:bookmarkStart w:id="3" w:name="_Toc435108560"/>
      <w:bookmarkStart w:id="4" w:name="_Toc230294033"/>
      <w:bookmarkStart w:id="5" w:name="_Toc280596467"/>
      <w:bookmarkStart w:id="6" w:name="_Toc230282755"/>
      <w:bookmarkStart w:id="7" w:name="_Toc230267569"/>
      <w:bookmarkStart w:id="8" w:name="_Toc113117259"/>
      <w:r>
        <w:rPr>
          <w:rFonts w:hint="eastAsia" w:ascii="黑体" w:hAnsi="黑体" w:eastAsia="黑体" w:cs="黑体"/>
          <w:b w:val="0"/>
          <w:snapToGrid w:val="0"/>
        </w:rPr>
        <w:t>附件3</w:t>
      </w:r>
    </w:p>
    <w:p>
      <w:pPr>
        <w:ind w:firstLine="560"/>
      </w:pPr>
    </w:p>
    <w:p>
      <w:pPr>
        <w:autoSpaceDE/>
        <w:autoSpaceDN/>
        <w:spacing w:line="560" w:lineRule="exact"/>
        <w:ind w:firstLine="0" w:firstLineChars="0"/>
        <w:jc w:val="center"/>
        <w:rPr>
          <w:rFonts w:ascii="方正小标宋简体" w:hAnsi="方正小标宋简体" w:eastAsia="方正小标宋简体" w:cs="方正小标宋简体"/>
          <w:snapToGrid w:val="0"/>
          <w:kern w:val="2"/>
          <w:sz w:val="44"/>
          <w:szCs w:val="44"/>
        </w:rPr>
      </w:pPr>
      <w:r>
        <w:rPr>
          <w:rFonts w:hint="eastAsia" w:ascii="方正小标宋简体" w:hAnsi="方正小标宋简体" w:eastAsia="方正小标宋简体" w:cs="方正小标宋简体"/>
          <w:snapToGrid w:val="0"/>
          <w:kern w:val="2"/>
          <w:sz w:val="44"/>
          <w:szCs w:val="44"/>
        </w:rPr>
        <w:t>始兴县2022年度城镇国有建设用地基准地价</w:t>
      </w:r>
    </w:p>
    <w:p>
      <w:pPr>
        <w:autoSpaceDE/>
        <w:autoSpaceDN/>
        <w:spacing w:line="560" w:lineRule="exact"/>
        <w:ind w:firstLine="0" w:firstLineChars="0"/>
        <w:jc w:val="center"/>
        <w:rPr>
          <w:rFonts w:ascii="方正小标宋简体" w:hAnsi="方正小标宋简体" w:eastAsia="方正小标宋简体" w:cs="方正小标宋简体"/>
          <w:snapToGrid w:val="0"/>
          <w:kern w:val="2"/>
          <w:sz w:val="44"/>
          <w:szCs w:val="44"/>
        </w:rPr>
      </w:pPr>
      <w:r>
        <w:rPr>
          <w:rFonts w:hint="eastAsia" w:ascii="方正小标宋简体" w:hAnsi="方正小标宋简体" w:eastAsia="方正小标宋简体" w:cs="方正小标宋简体"/>
          <w:snapToGrid w:val="0"/>
          <w:kern w:val="2"/>
          <w:sz w:val="44"/>
          <w:szCs w:val="44"/>
        </w:rPr>
        <w:t>更新成果</w:t>
      </w:r>
    </w:p>
    <w:p>
      <w:pPr>
        <w:autoSpaceDE/>
        <w:autoSpaceDN/>
        <w:spacing w:line="580" w:lineRule="exact"/>
        <w:ind w:firstLine="640"/>
        <w:rPr>
          <w:rFonts w:ascii="黑体" w:hAnsi="黑体" w:eastAsia="黑体" w:cs="黑体"/>
          <w:snapToGrid w:val="0"/>
          <w:kern w:val="2"/>
          <w:sz w:val="32"/>
          <w:szCs w:val="32"/>
        </w:rPr>
      </w:pPr>
      <w:r>
        <w:rPr>
          <w:rFonts w:hint="eastAsia" w:ascii="黑体" w:hAnsi="黑体" w:eastAsia="黑体" w:cs="黑体"/>
          <w:snapToGrid w:val="0"/>
          <w:kern w:val="2"/>
          <w:sz w:val="32"/>
          <w:szCs w:val="32"/>
        </w:rPr>
        <w:t>一、工作范围</w:t>
      </w:r>
      <w:bookmarkEnd w:id="0"/>
      <w:bookmarkEnd w:id="1"/>
      <w:bookmarkEnd w:id="2"/>
      <w:bookmarkEnd w:id="3"/>
    </w:p>
    <w:p>
      <w:pPr>
        <w:adjustRightInd w:val="0"/>
        <w:spacing w:line="600" w:lineRule="exact"/>
        <w:ind w:firstLine="620"/>
        <w:rPr>
          <w:rFonts w:cs="仿宋"/>
          <w:spacing w:val="-5"/>
          <w:kern w:val="0"/>
          <w:szCs w:val="28"/>
        </w:rPr>
      </w:pPr>
      <w:bookmarkStart w:id="9" w:name="_Toc435109058"/>
      <w:bookmarkStart w:id="10" w:name="_Toc435108561"/>
      <w:r>
        <w:rPr>
          <w:rFonts w:hint="eastAsia" w:ascii="仿宋_GB2312" w:hAnsi="仿宋_GB2312" w:eastAsia="仿宋_GB2312" w:cs="仿宋_GB2312"/>
          <w:spacing w:val="-5"/>
          <w:kern w:val="0"/>
          <w:sz w:val="32"/>
          <w:szCs w:val="32"/>
        </w:rPr>
        <w:t>本次基准地价评估工作范围为始兴城区（太平镇、城南镇）及八个建制乡镇（马市镇、顿岗镇、罗坝镇、沈所镇、司前镇、隘子镇、澄江镇和深渡水瑶族乡）建成区范围土地，其中城区面积为56.97平方公里，八个建制镇的面积为23.17平方公里，合共80.14平方公里。</w:t>
      </w:r>
    </w:p>
    <w:p>
      <w:pPr>
        <w:autoSpaceDE/>
        <w:autoSpaceDN/>
        <w:spacing w:line="580" w:lineRule="exact"/>
        <w:ind w:firstLine="640"/>
        <w:rPr>
          <w:rFonts w:ascii="黑体" w:hAnsi="黑体" w:eastAsia="黑体" w:cs="黑体"/>
          <w:snapToGrid w:val="0"/>
          <w:kern w:val="2"/>
          <w:sz w:val="32"/>
          <w:szCs w:val="32"/>
        </w:rPr>
      </w:pPr>
      <w:bookmarkStart w:id="11" w:name="_Toc12631"/>
      <w:bookmarkStart w:id="12" w:name="_Toc26131"/>
      <w:r>
        <w:rPr>
          <w:rFonts w:hint="eastAsia" w:ascii="黑体" w:hAnsi="黑体" w:eastAsia="黑体" w:cs="黑体"/>
          <w:snapToGrid w:val="0"/>
          <w:kern w:val="2"/>
          <w:sz w:val="32"/>
          <w:szCs w:val="32"/>
        </w:rPr>
        <w:t>二、级别基准地价的价格内涵</w:t>
      </w:r>
      <w:bookmarkEnd w:id="4"/>
      <w:bookmarkEnd w:id="5"/>
      <w:bookmarkEnd w:id="6"/>
      <w:bookmarkEnd w:id="9"/>
      <w:bookmarkEnd w:id="10"/>
      <w:bookmarkEnd w:id="11"/>
      <w:bookmarkEnd w:id="12"/>
    </w:p>
    <w:bookmarkEnd w:id="7"/>
    <w:p>
      <w:pPr>
        <w:adjustRightInd w:val="0"/>
        <w:spacing w:line="600" w:lineRule="exact"/>
        <w:ind w:firstLine="640"/>
        <w:rPr>
          <w:rFonts w:ascii="仿宋_GB2312" w:hAnsi="仿宋_GB2312" w:eastAsia="仿宋_GB2312" w:cs="仿宋_GB2312"/>
          <w:spacing w:val="-5"/>
          <w:kern w:val="0"/>
          <w:sz w:val="32"/>
          <w:szCs w:val="32"/>
        </w:rPr>
      </w:pPr>
      <w:bookmarkStart w:id="13" w:name="_Toc435108562"/>
      <w:bookmarkStart w:id="14" w:name="_Toc435109059"/>
      <w:r>
        <w:rPr>
          <w:rFonts w:hint="eastAsia" w:ascii="楷体_GB2312" w:hAnsi="楷体_GB2312" w:eastAsia="楷体_GB2312" w:cs="楷体_GB2312"/>
          <w:snapToGrid w:val="0"/>
          <w:color w:val="000000"/>
          <w:kern w:val="0"/>
          <w:sz w:val="32"/>
          <w:szCs w:val="32"/>
          <w:lang w:val="zh-CN"/>
        </w:rPr>
        <w:t>（一）商服用地级别价。</w:t>
      </w:r>
      <w:r>
        <w:rPr>
          <w:rFonts w:hint="eastAsia" w:ascii="仿宋_GB2312" w:hAnsi="仿宋_GB2312" w:eastAsia="仿宋_GB2312" w:cs="仿宋_GB2312"/>
          <w:spacing w:val="-5"/>
          <w:kern w:val="0"/>
          <w:sz w:val="32"/>
          <w:szCs w:val="32"/>
        </w:rPr>
        <w:t>土地在正常市场条件下，设定土地开发程度为“五通一平”(即宗地红线外供水、排水、通电、通路、通讯，宗地红线内场地平整)，估价期日为2022年12月31日、土地使用年期为40年、容积率为1.5的首层楼面地价。</w:t>
      </w:r>
    </w:p>
    <w:p>
      <w:pPr>
        <w:adjustRightInd w:val="0"/>
        <w:spacing w:line="600" w:lineRule="exact"/>
        <w:ind w:firstLine="640"/>
        <w:rPr>
          <w:rFonts w:ascii="Times New Roman" w:hAnsi="Times New Roman" w:eastAsia="仿宋_GB2312"/>
          <w:spacing w:val="-5"/>
          <w:kern w:val="0"/>
          <w:sz w:val="32"/>
          <w:szCs w:val="32"/>
        </w:rPr>
      </w:pPr>
      <w:r>
        <w:rPr>
          <w:rFonts w:hint="eastAsia" w:ascii="楷体_GB2312" w:hAnsi="楷体_GB2312" w:eastAsia="楷体_GB2312" w:cs="楷体_GB2312"/>
          <w:snapToGrid w:val="0"/>
          <w:color w:val="000000"/>
          <w:kern w:val="0"/>
          <w:sz w:val="32"/>
          <w:szCs w:val="32"/>
          <w:lang w:val="zh-CN"/>
        </w:rPr>
        <w:t>（二）商服用地路线价。</w:t>
      </w:r>
      <w:r>
        <w:rPr>
          <w:rFonts w:hint="eastAsia" w:ascii="仿宋_GB2312" w:hAnsi="仿宋_GB2312" w:eastAsia="仿宋_GB2312" w:cs="仿宋_GB2312"/>
          <w:spacing w:val="-5"/>
          <w:kern w:val="0"/>
          <w:sz w:val="32"/>
          <w:szCs w:val="32"/>
        </w:rPr>
        <w:t>土地在正常市场条件下，设定土地开发程度为“五通一平”(即宗地红线外供水、排水、通电、通路、通讯，宗地红线内场地平整)，估价期日为2022年12月</w:t>
      </w:r>
      <w:bookmarkStart w:id="142" w:name="_GoBack"/>
      <w:bookmarkEnd w:id="142"/>
      <w:r>
        <w:rPr>
          <w:rFonts w:hint="eastAsia" w:ascii="仿宋_GB2312" w:hAnsi="仿宋_GB2312" w:eastAsia="仿宋_GB2312" w:cs="仿宋_GB2312"/>
          <w:spacing w:val="-5"/>
          <w:kern w:val="0"/>
          <w:sz w:val="32"/>
          <w:szCs w:val="32"/>
        </w:rPr>
        <w:t>31日、土地使用年期为40年、容积率为1.5，标准深度为城区12米、乡镇10米，标准宽度为4米的首层楼面地价</w:t>
      </w:r>
      <w:r>
        <w:rPr>
          <w:rFonts w:hint="eastAsia" w:ascii="Times New Roman" w:hAnsi="Times New Roman" w:eastAsia="仿宋_GB2312"/>
          <w:spacing w:val="-5"/>
          <w:kern w:val="0"/>
          <w:sz w:val="32"/>
          <w:szCs w:val="32"/>
        </w:rPr>
        <w:t>。</w:t>
      </w:r>
    </w:p>
    <w:p>
      <w:pPr>
        <w:adjustRightInd w:val="0"/>
        <w:spacing w:line="600" w:lineRule="exact"/>
        <w:ind w:firstLine="640"/>
        <w:rPr>
          <w:rFonts w:ascii="仿宋_GB2312" w:hAnsi="仿宋_GB2312" w:eastAsia="仿宋_GB2312" w:cs="仿宋_GB2312"/>
          <w:spacing w:val="-5"/>
          <w:kern w:val="0"/>
          <w:sz w:val="32"/>
          <w:szCs w:val="32"/>
        </w:rPr>
      </w:pPr>
      <w:r>
        <w:rPr>
          <w:rFonts w:hint="eastAsia" w:ascii="楷体_GB2312" w:hAnsi="楷体_GB2312" w:eastAsia="楷体_GB2312" w:cs="楷体_GB2312"/>
          <w:snapToGrid w:val="0"/>
          <w:color w:val="000000"/>
          <w:kern w:val="0"/>
          <w:sz w:val="32"/>
          <w:szCs w:val="32"/>
          <w:lang w:val="zh-CN"/>
        </w:rPr>
        <w:t>（三）住宅用地级别价。</w:t>
      </w:r>
      <w:r>
        <w:rPr>
          <w:rFonts w:hint="eastAsia" w:ascii="仿宋_GB2312" w:hAnsi="仿宋_GB2312" w:eastAsia="仿宋_GB2312" w:cs="仿宋_GB2312"/>
          <w:spacing w:val="-5"/>
          <w:kern w:val="0"/>
          <w:sz w:val="32"/>
          <w:szCs w:val="32"/>
        </w:rPr>
        <w:t>土地在正常市场条件下，设定土地开发程度为“五通一平”(即宗地红线外供水、排水、通电、通路、通讯，宗地红线内场地平整)，估价期日为2022年12月31日、土地使用年期为70年、容积率为2.0的平</w:t>
      </w:r>
      <w:r>
        <w:rPr>
          <w:rFonts w:hint="eastAsia" w:ascii="Times New Roman" w:hAnsi="Times New Roman" w:eastAsia="仿宋_GB2312"/>
          <w:spacing w:val="-5"/>
          <w:kern w:val="0"/>
          <w:sz w:val="32"/>
          <w:szCs w:val="32"/>
        </w:rPr>
        <w:t>均楼面</w:t>
      </w:r>
      <w:r>
        <w:rPr>
          <w:rFonts w:hint="eastAsia" w:ascii="仿宋_GB2312" w:hAnsi="仿宋_GB2312" w:eastAsia="仿宋_GB2312" w:cs="仿宋_GB2312"/>
          <w:spacing w:val="-5"/>
          <w:kern w:val="0"/>
          <w:sz w:val="32"/>
          <w:szCs w:val="32"/>
        </w:rPr>
        <w:t>地价。</w:t>
      </w:r>
    </w:p>
    <w:p>
      <w:pPr>
        <w:adjustRightInd w:val="0"/>
        <w:spacing w:line="600" w:lineRule="exact"/>
        <w:ind w:firstLine="640"/>
        <w:rPr>
          <w:rFonts w:ascii="仿宋_GB2312" w:hAnsi="仿宋_GB2312" w:eastAsia="仿宋_GB2312" w:cs="仿宋_GB2312"/>
          <w:spacing w:val="-5"/>
          <w:kern w:val="0"/>
          <w:sz w:val="32"/>
          <w:szCs w:val="32"/>
        </w:rPr>
      </w:pPr>
      <w:r>
        <w:rPr>
          <w:rFonts w:hint="eastAsia" w:ascii="楷体_GB2312" w:hAnsi="楷体_GB2312" w:eastAsia="楷体_GB2312" w:cs="楷体_GB2312"/>
          <w:snapToGrid w:val="0"/>
          <w:color w:val="000000"/>
          <w:kern w:val="0"/>
          <w:sz w:val="32"/>
          <w:szCs w:val="32"/>
          <w:lang w:val="zh-CN"/>
        </w:rPr>
        <w:t>（四）工业用地级别价。</w:t>
      </w:r>
      <w:r>
        <w:rPr>
          <w:rFonts w:hint="eastAsia" w:ascii="仿宋_GB2312" w:hAnsi="仿宋_GB2312" w:eastAsia="仿宋_GB2312" w:cs="仿宋_GB2312"/>
          <w:spacing w:val="-5"/>
          <w:kern w:val="0"/>
          <w:sz w:val="32"/>
          <w:szCs w:val="32"/>
        </w:rPr>
        <w:t>土地在正常市场条件下，设定土地开发程度为“五通一平”(即宗地红线外供水、排水、通电、通路、通讯，宗地红线内场地平整)，估价期日为2022年12月31日、土地使用年期为50年、容积率为1.0的地面</w:t>
      </w:r>
      <w:r>
        <w:rPr>
          <w:rFonts w:hint="eastAsia" w:ascii="Times New Roman" w:hAnsi="Times New Roman" w:eastAsia="仿宋_GB2312"/>
          <w:spacing w:val="-5"/>
          <w:kern w:val="0"/>
          <w:sz w:val="32"/>
          <w:szCs w:val="32"/>
        </w:rPr>
        <w:t>地价</w:t>
      </w:r>
      <w:r>
        <w:rPr>
          <w:rFonts w:hint="eastAsia" w:ascii="仿宋_GB2312" w:hAnsi="仿宋_GB2312" w:eastAsia="仿宋_GB2312" w:cs="仿宋_GB2312"/>
          <w:spacing w:val="-5"/>
          <w:kern w:val="0"/>
          <w:sz w:val="32"/>
          <w:szCs w:val="32"/>
        </w:rPr>
        <w:t>。</w:t>
      </w:r>
    </w:p>
    <w:p>
      <w:pPr>
        <w:adjustRightInd w:val="0"/>
        <w:spacing w:line="600" w:lineRule="exact"/>
        <w:ind w:firstLine="640"/>
        <w:rPr>
          <w:rFonts w:ascii="仿宋_GB2312" w:hAnsi="仿宋_GB2312" w:eastAsia="仿宋_GB2312" w:cs="仿宋_GB2312"/>
          <w:spacing w:val="-5"/>
          <w:kern w:val="0"/>
          <w:sz w:val="32"/>
          <w:szCs w:val="32"/>
        </w:rPr>
      </w:pPr>
      <w:r>
        <w:rPr>
          <w:rFonts w:hint="eastAsia" w:ascii="楷体_GB2312" w:hAnsi="楷体_GB2312" w:eastAsia="楷体_GB2312" w:cs="楷体_GB2312"/>
          <w:snapToGrid w:val="0"/>
          <w:color w:val="000000"/>
          <w:kern w:val="0"/>
          <w:sz w:val="32"/>
          <w:szCs w:val="32"/>
          <w:lang w:val="zh-CN"/>
        </w:rPr>
        <w:t>（五）公共服务用地级别价。</w:t>
      </w:r>
      <w:r>
        <w:rPr>
          <w:rFonts w:hint="eastAsia" w:ascii="仿宋_GB2312" w:hAnsi="仿宋_GB2312" w:eastAsia="仿宋_GB2312" w:cs="仿宋_GB2312"/>
          <w:spacing w:val="-5"/>
          <w:kern w:val="0"/>
          <w:sz w:val="32"/>
          <w:szCs w:val="32"/>
        </w:rPr>
        <w:t>土地在正常市场条件下，设定土地开发程度为“五通一平”(即宗地红线外供水、排水、通电、通路、通讯，宗地红线内场地平整)，估价期日为2022年12月31日、土地使用年期为50年、容积率为2.0的平均楼</w:t>
      </w:r>
      <w:r>
        <w:rPr>
          <w:rFonts w:hint="eastAsia" w:ascii="Times New Roman" w:hAnsi="Times New Roman" w:eastAsia="仿宋_GB2312"/>
          <w:spacing w:val="-5"/>
          <w:kern w:val="0"/>
          <w:sz w:val="32"/>
          <w:szCs w:val="32"/>
        </w:rPr>
        <w:t>面</w:t>
      </w:r>
      <w:r>
        <w:rPr>
          <w:rFonts w:hint="eastAsia" w:ascii="仿宋_GB2312" w:hAnsi="仿宋_GB2312" w:eastAsia="仿宋_GB2312" w:cs="仿宋_GB2312"/>
          <w:spacing w:val="-5"/>
          <w:kern w:val="0"/>
          <w:sz w:val="32"/>
          <w:szCs w:val="32"/>
        </w:rPr>
        <w:t>地价。</w:t>
      </w:r>
    </w:p>
    <w:p>
      <w:pPr>
        <w:adjustRightInd w:val="0"/>
        <w:spacing w:line="600" w:lineRule="exact"/>
        <w:ind w:firstLine="640"/>
        <w:rPr>
          <w:rFonts w:ascii="仿宋_GB2312" w:hAnsi="仿宋_GB2312" w:eastAsia="仿宋_GB2312" w:cs="仿宋_GB2312"/>
          <w:spacing w:val="-5"/>
          <w:kern w:val="0"/>
          <w:sz w:val="32"/>
          <w:szCs w:val="32"/>
        </w:rPr>
      </w:pPr>
      <w:r>
        <w:rPr>
          <w:rFonts w:hint="eastAsia" w:ascii="楷体_GB2312" w:hAnsi="楷体_GB2312" w:eastAsia="楷体_GB2312" w:cs="楷体_GB2312"/>
          <w:snapToGrid w:val="0"/>
          <w:color w:val="000000"/>
          <w:kern w:val="0"/>
          <w:sz w:val="32"/>
          <w:szCs w:val="32"/>
          <w:lang w:val="zh-CN"/>
        </w:rPr>
        <w:t>（六）公用设施用地级别价。</w:t>
      </w:r>
      <w:r>
        <w:rPr>
          <w:rFonts w:hint="eastAsia" w:ascii="仿宋_GB2312" w:hAnsi="仿宋_GB2312" w:eastAsia="仿宋_GB2312" w:cs="仿宋_GB2312"/>
          <w:spacing w:val="-5"/>
          <w:kern w:val="0"/>
          <w:sz w:val="32"/>
          <w:szCs w:val="32"/>
        </w:rPr>
        <w:t>土地在正常市场条件下，设定土地开发程度为“五通一平”(即宗地红线外供水、排水、通电、通路、通讯，宗地红线内场地平整)，估价期日为2022年12月31日、土地使用年期为50年、容积率为1.0的</w:t>
      </w:r>
      <w:r>
        <w:rPr>
          <w:rFonts w:hint="eastAsia" w:ascii="Times New Roman" w:hAnsi="Times New Roman" w:eastAsia="仿宋_GB2312"/>
          <w:spacing w:val="-5"/>
          <w:kern w:val="0"/>
          <w:sz w:val="32"/>
          <w:szCs w:val="32"/>
        </w:rPr>
        <w:t>地面地价</w:t>
      </w:r>
      <w:r>
        <w:rPr>
          <w:rFonts w:hint="eastAsia" w:ascii="仿宋_GB2312" w:hAnsi="仿宋_GB2312" w:eastAsia="仿宋_GB2312" w:cs="仿宋_GB2312"/>
          <w:spacing w:val="-5"/>
          <w:kern w:val="0"/>
          <w:sz w:val="32"/>
          <w:szCs w:val="32"/>
        </w:rPr>
        <w:t>。</w:t>
      </w:r>
    </w:p>
    <w:bookmarkEnd w:id="13"/>
    <w:bookmarkEnd w:id="14"/>
    <w:p>
      <w:pPr>
        <w:autoSpaceDE/>
        <w:autoSpaceDN/>
        <w:spacing w:line="580" w:lineRule="exact"/>
        <w:ind w:firstLine="640"/>
        <w:rPr>
          <w:rFonts w:ascii="黑体" w:hAnsi="黑体" w:eastAsia="黑体" w:cs="黑体"/>
          <w:snapToGrid w:val="0"/>
          <w:kern w:val="2"/>
          <w:sz w:val="32"/>
          <w:szCs w:val="32"/>
        </w:rPr>
      </w:pPr>
      <w:bookmarkStart w:id="15" w:name="_Toc2940"/>
      <w:bookmarkStart w:id="16" w:name="_Toc31236"/>
      <w:bookmarkStart w:id="17" w:name="_Toc435108563"/>
      <w:bookmarkStart w:id="18" w:name="_Toc435109060"/>
      <w:r>
        <w:rPr>
          <w:rFonts w:hint="eastAsia" w:ascii="黑体" w:hAnsi="黑体" w:eastAsia="黑体" w:cs="黑体"/>
          <w:snapToGrid w:val="0"/>
          <w:kern w:val="2"/>
          <w:sz w:val="32"/>
          <w:szCs w:val="32"/>
        </w:rPr>
        <w:t>三、基准地价成果</w:t>
      </w:r>
      <w:bookmarkEnd w:id="15"/>
      <w:bookmarkEnd w:id="16"/>
    </w:p>
    <w:p>
      <w:pPr>
        <w:adjustRightInd w:val="0"/>
        <w:spacing w:line="580" w:lineRule="exact"/>
        <w:ind w:firstLine="640"/>
        <w:rPr>
          <w:rFonts w:ascii="楷体_GB2312" w:hAnsi="楷体_GB2312" w:eastAsia="楷体_GB2312" w:cs="楷体_GB2312"/>
          <w:snapToGrid w:val="0"/>
          <w:color w:val="000000"/>
          <w:kern w:val="0"/>
          <w:sz w:val="32"/>
          <w:szCs w:val="32"/>
        </w:rPr>
      </w:pPr>
      <w:bookmarkStart w:id="19" w:name="_Toc5200"/>
      <w:bookmarkStart w:id="20" w:name="_Toc14262"/>
      <w:r>
        <w:rPr>
          <w:rFonts w:hint="eastAsia" w:ascii="楷体_GB2312" w:hAnsi="楷体_GB2312" w:eastAsia="楷体_GB2312" w:cs="楷体_GB2312"/>
          <w:snapToGrid w:val="0"/>
          <w:color w:val="000000"/>
          <w:kern w:val="0"/>
          <w:sz w:val="32"/>
          <w:szCs w:val="32"/>
        </w:rPr>
        <w:t>（一）城区各用途级别基准地价表</w:t>
      </w:r>
      <w:bookmarkEnd w:id="17"/>
      <w:bookmarkEnd w:id="18"/>
      <w:bookmarkEnd w:id="19"/>
      <w:bookmarkEnd w:id="20"/>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始兴城区各用途用地级别基准地价表</w:t>
      </w:r>
    </w:p>
    <w:tbl>
      <w:tblPr>
        <w:tblStyle w:val="47"/>
        <w:tblW w:w="92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906"/>
        <w:gridCol w:w="1317"/>
        <w:gridCol w:w="1317"/>
        <w:gridCol w:w="1317"/>
        <w:gridCol w:w="1317"/>
        <w:gridCol w:w="13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219" w:type="dxa"/>
            <w:gridSpan w:val="7"/>
            <w:tcBorders>
              <w:top w:val="nil"/>
              <w:left w:val="nil"/>
              <w:bottom w:val="single" w:color="auto" w:sz="4" w:space="0"/>
              <w:right w:val="nil"/>
            </w:tcBorders>
            <w:vAlign w:val="center"/>
          </w:tcPr>
          <w:p>
            <w:pPr>
              <w:wordWrap w:val="0"/>
              <w:spacing w:line="240" w:lineRule="auto"/>
              <w:ind w:firstLine="0" w:firstLineChars="0"/>
              <w:jc w:val="right"/>
              <w:rPr>
                <w:rFonts w:ascii="仿宋_GB2312" w:hAnsi="仿宋_GB2312" w:eastAsia="仿宋_GB2312" w:cs="仿宋_GB2312"/>
                <w:kern w:val="0"/>
                <w:sz w:val="24"/>
              </w:rPr>
            </w:pPr>
            <w:bookmarkStart w:id="21" w:name="_Toc435108564"/>
            <w:bookmarkStart w:id="22" w:name="_Toc435109061"/>
            <w:r>
              <w:rPr>
                <w:rFonts w:hint="eastAsia" w:ascii="仿宋_GB2312" w:hAnsi="仿宋_GB2312" w:eastAsia="仿宋_GB2312" w:cs="仿宋_GB2312"/>
                <w:sz w:val="24"/>
              </w:rPr>
              <w:t>单位：人民币  元／平方米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jc w:val="center"/>
        </w:trPr>
        <w:tc>
          <w:tcPr>
            <w:tcW w:w="1728" w:type="dxa"/>
            <w:vMerge w:val="restart"/>
            <w:tcBorders>
              <w:top w:val="single" w:color="auto" w:sz="4" w:space="0"/>
              <w:bottom w:val="single" w:color="auto" w:sz="4" w:space="0"/>
            </w:tcBorders>
            <w:vAlign w:val="center"/>
          </w:tcPr>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行政区</w:t>
            </w:r>
          </w:p>
        </w:tc>
        <w:tc>
          <w:tcPr>
            <w:tcW w:w="906" w:type="dxa"/>
            <w:vMerge w:val="restart"/>
            <w:tcBorders>
              <w:top w:val="single" w:color="auto" w:sz="4" w:space="0"/>
              <w:bottom w:val="single" w:color="auto" w:sz="4" w:space="0"/>
            </w:tcBorders>
            <w:vAlign w:val="center"/>
          </w:tcPr>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土地级别</w:t>
            </w:r>
          </w:p>
        </w:tc>
        <w:tc>
          <w:tcPr>
            <w:tcW w:w="1317" w:type="dxa"/>
            <w:tcBorders>
              <w:top w:val="single" w:color="auto" w:sz="4" w:space="0"/>
              <w:bottom w:val="single" w:color="auto" w:sz="4" w:space="0"/>
            </w:tcBorders>
            <w:vAlign w:val="center"/>
          </w:tcPr>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商服用地</w:t>
            </w:r>
          </w:p>
        </w:tc>
        <w:tc>
          <w:tcPr>
            <w:tcW w:w="1317" w:type="dxa"/>
            <w:tcBorders>
              <w:top w:val="single" w:color="auto" w:sz="4" w:space="0"/>
              <w:bottom w:val="single" w:color="auto" w:sz="4" w:space="0"/>
            </w:tcBorders>
            <w:vAlign w:val="center"/>
          </w:tcPr>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住宅用地</w:t>
            </w:r>
          </w:p>
        </w:tc>
        <w:tc>
          <w:tcPr>
            <w:tcW w:w="1317" w:type="dxa"/>
            <w:tcBorders>
              <w:top w:val="single" w:color="auto" w:sz="4" w:space="0"/>
              <w:bottom w:val="single" w:color="auto" w:sz="4" w:space="0"/>
            </w:tcBorders>
            <w:vAlign w:val="center"/>
          </w:tcPr>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工业用地</w:t>
            </w:r>
          </w:p>
        </w:tc>
        <w:tc>
          <w:tcPr>
            <w:tcW w:w="1317" w:type="dxa"/>
            <w:tcBorders>
              <w:top w:val="single" w:color="auto" w:sz="4" w:space="0"/>
              <w:bottom w:val="single" w:color="auto" w:sz="4" w:space="0"/>
            </w:tcBorders>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公共服务</w:t>
            </w:r>
          </w:p>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用地</w:t>
            </w:r>
          </w:p>
        </w:tc>
        <w:tc>
          <w:tcPr>
            <w:tcW w:w="1317" w:type="dxa"/>
            <w:tcBorders>
              <w:top w:val="single" w:color="auto" w:sz="4" w:space="0"/>
              <w:bottom w:val="single" w:color="auto" w:sz="4" w:space="0"/>
            </w:tcBorders>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公用设施</w:t>
            </w:r>
          </w:p>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4" w:hRule="atLeast"/>
          <w:jc w:val="center"/>
        </w:trPr>
        <w:tc>
          <w:tcPr>
            <w:tcW w:w="1728" w:type="dxa"/>
            <w:vMerge w:val="continue"/>
            <w:tcBorders>
              <w:top w:val="single" w:color="auto" w:sz="4" w:space="0"/>
            </w:tcBorders>
            <w:vAlign w:val="center"/>
          </w:tcPr>
          <w:p>
            <w:pPr>
              <w:spacing w:line="240" w:lineRule="auto"/>
              <w:ind w:firstLine="0" w:firstLineChars="0"/>
              <w:jc w:val="center"/>
              <w:rPr>
                <w:rFonts w:ascii="仿宋_GB2312" w:hAnsi="仿宋_GB2312" w:eastAsia="仿宋_GB2312" w:cs="仿宋_GB2312"/>
                <w:sz w:val="24"/>
              </w:rPr>
            </w:pPr>
          </w:p>
        </w:tc>
        <w:tc>
          <w:tcPr>
            <w:tcW w:w="906" w:type="dxa"/>
            <w:vMerge w:val="continue"/>
            <w:tcBorders>
              <w:top w:val="single" w:color="auto" w:sz="4" w:space="0"/>
            </w:tcBorders>
            <w:vAlign w:val="center"/>
          </w:tcPr>
          <w:p>
            <w:pPr>
              <w:spacing w:line="240" w:lineRule="auto"/>
              <w:ind w:firstLine="0" w:firstLineChars="0"/>
              <w:jc w:val="center"/>
              <w:rPr>
                <w:rFonts w:ascii="仿宋_GB2312" w:hAnsi="仿宋_GB2312" w:eastAsia="仿宋_GB2312" w:cs="仿宋_GB2312"/>
                <w:sz w:val="24"/>
              </w:rPr>
            </w:pPr>
          </w:p>
        </w:tc>
        <w:tc>
          <w:tcPr>
            <w:tcW w:w="1317" w:type="dxa"/>
            <w:tcBorders>
              <w:top w:val="single" w:color="auto" w:sz="4" w:space="0"/>
            </w:tcBorders>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首层楼面</w:t>
            </w:r>
          </w:p>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地价</w:t>
            </w:r>
          </w:p>
        </w:tc>
        <w:tc>
          <w:tcPr>
            <w:tcW w:w="1317" w:type="dxa"/>
            <w:tcBorders>
              <w:top w:val="single" w:color="auto" w:sz="4" w:space="0"/>
            </w:tcBorders>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平均楼面</w:t>
            </w:r>
          </w:p>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地价</w:t>
            </w:r>
          </w:p>
        </w:tc>
        <w:tc>
          <w:tcPr>
            <w:tcW w:w="1317" w:type="dxa"/>
            <w:tcBorders>
              <w:top w:val="single" w:color="auto" w:sz="4" w:space="0"/>
            </w:tcBorders>
            <w:vAlign w:val="center"/>
          </w:tcPr>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地面地价</w:t>
            </w:r>
          </w:p>
        </w:tc>
        <w:tc>
          <w:tcPr>
            <w:tcW w:w="1317" w:type="dxa"/>
            <w:tcBorders>
              <w:top w:val="single" w:color="auto" w:sz="4" w:space="0"/>
            </w:tcBorders>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平均楼面</w:t>
            </w:r>
          </w:p>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地价</w:t>
            </w:r>
          </w:p>
        </w:tc>
        <w:tc>
          <w:tcPr>
            <w:tcW w:w="1317" w:type="dxa"/>
            <w:tcBorders>
              <w:top w:val="single" w:color="auto" w:sz="4" w:space="0"/>
            </w:tcBorders>
            <w:vAlign w:val="center"/>
          </w:tcPr>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地面地价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jc w:val="center"/>
        </w:trPr>
        <w:tc>
          <w:tcPr>
            <w:tcW w:w="1728" w:type="dxa"/>
            <w:vMerge w:val="restart"/>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始兴城区</w:t>
            </w:r>
          </w:p>
          <w:p>
            <w:pPr>
              <w:pStyle w:val="2"/>
              <w:autoSpaceDE/>
              <w:autoSpaceDN/>
              <w:ind w:firstLine="0" w:firstLineChars="0"/>
              <w:rPr>
                <w:rFonts w:ascii="仿宋_GB2312" w:hAnsi="仿宋_GB2312" w:eastAsia="仿宋_GB2312" w:cs="仿宋_GB2312"/>
                <w:sz w:val="24"/>
              </w:rPr>
            </w:pPr>
            <w:r>
              <w:rPr>
                <w:rFonts w:hint="eastAsia" w:ascii="仿宋_GB2312" w:hAnsi="仿宋_GB2312" w:eastAsia="仿宋_GB2312" w:cs="仿宋_GB2312"/>
                <w:kern w:val="0"/>
                <w:sz w:val="24"/>
              </w:rPr>
              <w:t>（太平镇、城南镇）</w:t>
            </w:r>
          </w:p>
        </w:tc>
        <w:tc>
          <w:tcPr>
            <w:tcW w:w="906" w:type="dxa"/>
            <w:vAlign w:val="center"/>
          </w:tcPr>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I级</w:t>
            </w:r>
          </w:p>
        </w:tc>
        <w:tc>
          <w:tcPr>
            <w:tcW w:w="1317"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3920</w:t>
            </w:r>
          </w:p>
        </w:tc>
        <w:tc>
          <w:tcPr>
            <w:tcW w:w="1317"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680</w:t>
            </w:r>
          </w:p>
        </w:tc>
        <w:tc>
          <w:tcPr>
            <w:tcW w:w="1317"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368</w:t>
            </w:r>
          </w:p>
        </w:tc>
        <w:tc>
          <w:tcPr>
            <w:tcW w:w="1317"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370</w:t>
            </w:r>
          </w:p>
        </w:tc>
        <w:tc>
          <w:tcPr>
            <w:tcW w:w="1317"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jc w:val="center"/>
        </w:trPr>
        <w:tc>
          <w:tcPr>
            <w:tcW w:w="1728" w:type="dxa"/>
            <w:vMerge w:val="continue"/>
            <w:vAlign w:val="center"/>
          </w:tcPr>
          <w:p>
            <w:pPr>
              <w:spacing w:line="240" w:lineRule="auto"/>
              <w:ind w:firstLine="0" w:firstLineChars="0"/>
              <w:jc w:val="center"/>
              <w:rPr>
                <w:rFonts w:ascii="仿宋_GB2312" w:hAnsi="仿宋_GB2312" w:eastAsia="仿宋_GB2312" w:cs="仿宋_GB2312"/>
                <w:sz w:val="24"/>
              </w:rPr>
            </w:pPr>
          </w:p>
        </w:tc>
        <w:tc>
          <w:tcPr>
            <w:tcW w:w="906" w:type="dxa"/>
            <w:vAlign w:val="center"/>
          </w:tcPr>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Ⅱ级</w:t>
            </w:r>
          </w:p>
        </w:tc>
        <w:tc>
          <w:tcPr>
            <w:tcW w:w="1317"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2725</w:t>
            </w:r>
          </w:p>
        </w:tc>
        <w:tc>
          <w:tcPr>
            <w:tcW w:w="1317"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585</w:t>
            </w:r>
          </w:p>
        </w:tc>
        <w:tc>
          <w:tcPr>
            <w:tcW w:w="1317"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288</w:t>
            </w:r>
          </w:p>
        </w:tc>
        <w:tc>
          <w:tcPr>
            <w:tcW w:w="1317"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270</w:t>
            </w:r>
          </w:p>
        </w:tc>
        <w:tc>
          <w:tcPr>
            <w:tcW w:w="1317"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jc w:val="center"/>
        </w:trPr>
        <w:tc>
          <w:tcPr>
            <w:tcW w:w="1728" w:type="dxa"/>
            <w:vMerge w:val="continue"/>
            <w:vAlign w:val="center"/>
          </w:tcPr>
          <w:p>
            <w:pPr>
              <w:spacing w:line="240" w:lineRule="auto"/>
              <w:ind w:firstLine="0" w:firstLineChars="0"/>
              <w:jc w:val="center"/>
              <w:rPr>
                <w:rFonts w:ascii="仿宋_GB2312" w:hAnsi="仿宋_GB2312" w:eastAsia="仿宋_GB2312" w:cs="仿宋_GB2312"/>
                <w:sz w:val="24"/>
              </w:rPr>
            </w:pPr>
          </w:p>
        </w:tc>
        <w:tc>
          <w:tcPr>
            <w:tcW w:w="906" w:type="dxa"/>
            <w:vAlign w:val="center"/>
          </w:tcPr>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Ⅲ级</w:t>
            </w:r>
          </w:p>
        </w:tc>
        <w:tc>
          <w:tcPr>
            <w:tcW w:w="1317"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1515</w:t>
            </w:r>
          </w:p>
        </w:tc>
        <w:tc>
          <w:tcPr>
            <w:tcW w:w="1317"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426</w:t>
            </w:r>
          </w:p>
        </w:tc>
        <w:tc>
          <w:tcPr>
            <w:tcW w:w="1317"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218</w:t>
            </w:r>
          </w:p>
        </w:tc>
        <w:tc>
          <w:tcPr>
            <w:tcW w:w="1317"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175</w:t>
            </w:r>
          </w:p>
        </w:tc>
        <w:tc>
          <w:tcPr>
            <w:tcW w:w="1317"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jc w:val="center"/>
        </w:trPr>
        <w:tc>
          <w:tcPr>
            <w:tcW w:w="1728" w:type="dxa"/>
            <w:vMerge w:val="continue"/>
            <w:vAlign w:val="center"/>
          </w:tcPr>
          <w:p>
            <w:pPr>
              <w:spacing w:line="240" w:lineRule="auto"/>
              <w:ind w:firstLine="0" w:firstLineChars="0"/>
              <w:jc w:val="center"/>
              <w:rPr>
                <w:rFonts w:ascii="仿宋_GB2312" w:hAnsi="仿宋_GB2312" w:eastAsia="仿宋_GB2312" w:cs="仿宋_GB2312"/>
                <w:sz w:val="24"/>
              </w:rPr>
            </w:pPr>
          </w:p>
        </w:tc>
        <w:tc>
          <w:tcPr>
            <w:tcW w:w="906" w:type="dxa"/>
            <w:vAlign w:val="center"/>
          </w:tcPr>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Ⅳ级</w:t>
            </w:r>
          </w:p>
        </w:tc>
        <w:tc>
          <w:tcPr>
            <w:tcW w:w="1317"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919</w:t>
            </w:r>
          </w:p>
        </w:tc>
        <w:tc>
          <w:tcPr>
            <w:tcW w:w="1317"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311</w:t>
            </w:r>
          </w:p>
        </w:tc>
        <w:tc>
          <w:tcPr>
            <w:tcW w:w="1317"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183</w:t>
            </w:r>
          </w:p>
        </w:tc>
        <w:tc>
          <w:tcPr>
            <w:tcW w:w="1317"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1317"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1" w:hRule="atLeast"/>
          <w:jc w:val="center"/>
        </w:trPr>
        <w:tc>
          <w:tcPr>
            <w:tcW w:w="1728" w:type="dxa"/>
            <w:vMerge w:val="continue"/>
            <w:vAlign w:val="center"/>
          </w:tcPr>
          <w:p>
            <w:pPr>
              <w:spacing w:line="240" w:lineRule="auto"/>
              <w:ind w:firstLine="0" w:firstLineChars="0"/>
              <w:jc w:val="center"/>
              <w:rPr>
                <w:rFonts w:ascii="仿宋_GB2312" w:hAnsi="仿宋_GB2312" w:eastAsia="仿宋_GB2312" w:cs="仿宋_GB2312"/>
                <w:sz w:val="24"/>
              </w:rPr>
            </w:pPr>
          </w:p>
        </w:tc>
        <w:tc>
          <w:tcPr>
            <w:tcW w:w="906" w:type="dxa"/>
            <w:vAlign w:val="center"/>
          </w:tcPr>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V级</w:t>
            </w:r>
          </w:p>
        </w:tc>
        <w:tc>
          <w:tcPr>
            <w:tcW w:w="1317"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535</w:t>
            </w:r>
          </w:p>
        </w:tc>
        <w:tc>
          <w:tcPr>
            <w:tcW w:w="1317"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248</w:t>
            </w:r>
          </w:p>
        </w:tc>
        <w:tc>
          <w:tcPr>
            <w:tcW w:w="1317"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165</w:t>
            </w:r>
          </w:p>
        </w:tc>
        <w:tc>
          <w:tcPr>
            <w:tcW w:w="1317"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1317"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w:t>
            </w:r>
          </w:p>
        </w:tc>
      </w:tr>
    </w:tbl>
    <w:p>
      <w:pPr>
        <w:spacing w:line="240" w:lineRule="auto"/>
        <w:ind w:firstLine="540"/>
        <w:rPr>
          <w:rFonts w:ascii="仿宋_GB2312" w:hAnsi="仿宋_GB2312" w:eastAsia="仿宋_GB2312" w:cs="仿宋_GB2312"/>
          <w:spacing w:val="-5"/>
          <w:kern w:val="0"/>
          <w:szCs w:val="32"/>
        </w:rPr>
      </w:pPr>
      <w:r>
        <w:rPr>
          <w:rFonts w:hint="eastAsia" w:ascii="仿宋_GB2312" w:hAnsi="仿宋_GB2312" w:eastAsia="仿宋_GB2312" w:cs="仿宋_GB2312"/>
          <w:spacing w:val="-5"/>
          <w:kern w:val="0"/>
          <w:szCs w:val="32"/>
        </w:rPr>
        <w:t>注：(1)商服用地级别基准地价为设定容积率1.5的首层楼面地价；</w:t>
      </w:r>
    </w:p>
    <w:p>
      <w:pPr>
        <w:spacing w:line="240" w:lineRule="auto"/>
        <w:ind w:firstLine="1080" w:firstLineChars="400"/>
        <w:rPr>
          <w:rFonts w:ascii="仿宋_GB2312" w:hAnsi="仿宋_GB2312" w:eastAsia="仿宋_GB2312" w:cs="仿宋_GB2312"/>
          <w:spacing w:val="-5"/>
          <w:kern w:val="0"/>
          <w:szCs w:val="32"/>
        </w:rPr>
      </w:pPr>
      <w:r>
        <w:rPr>
          <w:rFonts w:hint="eastAsia" w:ascii="仿宋_GB2312" w:hAnsi="仿宋_GB2312" w:eastAsia="仿宋_GB2312" w:cs="仿宋_GB2312"/>
          <w:spacing w:val="-5"/>
          <w:kern w:val="0"/>
          <w:szCs w:val="32"/>
        </w:rPr>
        <w:t>(2)住宅用地级别基准地价为设定容积率2.0的平均楼面地价；</w:t>
      </w:r>
    </w:p>
    <w:p>
      <w:pPr>
        <w:spacing w:line="240" w:lineRule="auto"/>
        <w:ind w:firstLine="1080" w:firstLineChars="400"/>
        <w:rPr>
          <w:rFonts w:ascii="仿宋_GB2312" w:hAnsi="仿宋_GB2312" w:eastAsia="仿宋_GB2312" w:cs="仿宋_GB2312"/>
          <w:spacing w:val="-5"/>
          <w:kern w:val="0"/>
          <w:szCs w:val="32"/>
        </w:rPr>
      </w:pPr>
      <w:r>
        <w:rPr>
          <w:rFonts w:hint="eastAsia" w:ascii="仿宋_GB2312" w:hAnsi="仿宋_GB2312" w:eastAsia="仿宋_GB2312" w:cs="仿宋_GB2312"/>
          <w:spacing w:val="-5"/>
          <w:kern w:val="0"/>
          <w:szCs w:val="32"/>
        </w:rPr>
        <w:t>(3)工业用地级别基准地价为设定容积率1.0的地面地价；</w:t>
      </w:r>
    </w:p>
    <w:p>
      <w:pPr>
        <w:spacing w:line="240" w:lineRule="auto"/>
        <w:ind w:firstLine="1080" w:firstLineChars="400"/>
        <w:rPr>
          <w:rFonts w:ascii="仿宋_GB2312" w:hAnsi="仿宋_GB2312" w:eastAsia="仿宋_GB2312" w:cs="仿宋_GB2312"/>
          <w:spacing w:val="-5"/>
          <w:kern w:val="0"/>
          <w:szCs w:val="32"/>
        </w:rPr>
      </w:pPr>
      <w:r>
        <w:rPr>
          <w:rFonts w:hint="eastAsia" w:ascii="仿宋_GB2312" w:hAnsi="仿宋_GB2312" w:eastAsia="仿宋_GB2312" w:cs="仿宋_GB2312"/>
          <w:spacing w:val="-5"/>
          <w:kern w:val="0"/>
          <w:szCs w:val="32"/>
        </w:rPr>
        <w:t>(4)公共服务用地级别基准地价为设定容积率2.0的平均楼面地价；</w:t>
      </w:r>
    </w:p>
    <w:p>
      <w:pPr>
        <w:spacing w:line="240" w:lineRule="auto"/>
        <w:ind w:firstLine="1080" w:firstLineChars="400"/>
        <w:rPr>
          <w:rFonts w:ascii="仿宋_GB2312" w:hAnsi="仿宋_GB2312" w:eastAsia="仿宋_GB2312" w:cs="仿宋_GB2312"/>
          <w:spacing w:val="-5"/>
          <w:kern w:val="0"/>
          <w:szCs w:val="32"/>
        </w:rPr>
      </w:pPr>
      <w:r>
        <w:rPr>
          <w:rFonts w:hint="eastAsia" w:ascii="仿宋_GB2312" w:hAnsi="仿宋_GB2312" w:eastAsia="仿宋_GB2312" w:cs="仿宋_GB2312"/>
          <w:spacing w:val="-5"/>
          <w:kern w:val="0"/>
          <w:szCs w:val="32"/>
        </w:rPr>
        <w:t>(5)公用设施用地级别基准地价为设定容积率1.0的地面地价。</w:t>
      </w: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始兴城区2022</w:t>
      </w:r>
      <w:r>
        <w:rPr>
          <w:rFonts w:ascii="Times New Roman" w:hAnsi="Times New Roman" w:eastAsia="仿宋_GB2312"/>
          <w:sz w:val="32"/>
          <w:szCs w:val="32"/>
        </w:rPr>
        <w:t>年</w:t>
      </w:r>
      <w:r>
        <w:rPr>
          <w:rFonts w:hint="eastAsia" w:ascii="仿宋_GB2312" w:hAnsi="仿宋_GB2312" w:eastAsia="仿宋_GB2312" w:cs="仿宋_GB2312"/>
          <w:sz w:val="32"/>
          <w:szCs w:val="32"/>
        </w:rPr>
        <w:t>商服用地基准地价级别范围</w:t>
      </w:r>
    </w:p>
    <w:tbl>
      <w:tblPr>
        <w:tblStyle w:val="48"/>
        <w:tblW w:w="928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1205"/>
        <w:gridCol w:w="7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9286" w:type="dxa"/>
            <w:gridSpan w:val="3"/>
            <w:tcBorders>
              <w:top w:val="nil"/>
              <w:left w:val="nil"/>
              <w:bottom w:val="single" w:color="auto" w:sz="4" w:space="0"/>
              <w:right w:val="nil"/>
            </w:tcBorders>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pacing w:val="-1"/>
                <w:sz w:val="24"/>
              </w:rPr>
              <w:t>(以下级别范围描述仅供参考，具体级</w:t>
            </w:r>
            <w:r>
              <w:rPr>
                <w:rFonts w:hint="eastAsia" w:ascii="仿宋_GB2312" w:hAnsi="仿宋_GB2312" w:eastAsia="仿宋_GB2312" w:cs="仿宋_GB2312"/>
                <w:sz w:val="24"/>
              </w:rPr>
              <w:t>别范围以基准地价级别图为准)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734" w:type="dxa"/>
            <w:tcBorders>
              <w:top w:val="single" w:color="auto" w:sz="4" w:space="0"/>
            </w:tcBorders>
            <w:vAlign w:val="center"/>
          </w:tcPr>
          <w:p>
            <w:pPr>
              <w:pStyle w:val="2"/>
              <w:adjustRightInd w:val="0"/>
              <w:ind w:firstLine="0" w:firstLineChars="0"/>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土地级别</w:t>
            </w:r>
          </w:p>
        </w:tc>
        <w:tc>
          <w:tcPr>
            <w:tcW w:w="1205" w:type="dxa"/>
            <w:tcBorders>
              <w:top w:val="single" w:color="auto" w:sz="4" w:space="0"/>
            </w:tcBorders>
            <w:vAlign w:val="center"/>
          </w:tcPr>
          <w:p>
            <w:pPr>
              <w:pStyle w:val="2"/>
              <w:adjustRightInd w:val="0"/>
              <w:ind w:firstLine="0" w:firstLineChars="0"/>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级别价</w:t>
            </w:r>
          </w:p>
          <w:p>
            <w:pPr>
              <w:pStyle w:val="2"/>
              <w:adjustRightInd w:val="0"/>
              <w:ind w:firstLine="0" w:firstLineChars="0"/>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（元/㎡）</w:t>
            </w:r>
          </w:p>
        </w:tc>
        <w:tc>
          <w:tcPr>
            <w:tcW w:w="7347" w:type="dxa"/>
            <w:tcBorders>
              <w:top w:val="single" w:color="auto" w:sz="4" w:space="0"/>
            </w:tcBorders>
            <w:vAlign w:val="center"/>
          </w:tcPr>
          <w:p>
            <w:pPr>
              <w:pStyle w:val="2"/>
              <w:adjustRightInd w:val="0"/>
              <w:ind w:firstLine="0" w:firstLineChars="0"/>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4"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一级</w:t>
            </w:r>
          </w:p>
        </w:tc>
        <w:tc>
          <w:tcPr>
            <w:tcW w:w="1205" w:type="dxa"/>
            <w:vAlign w:val="center"/>
          </w:tcPr>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3920</w:t>
            </w:r>
          </w:p>
        </w:tc>
        <w:tc>
          <w:tcPr>
            <w:tcW w:w="7347" w:type="dxa"/>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由以下线路围合而成：</w:t>
            </w:r>
          </w:p>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永安大道-墨江桥北路-红旗西路-丹凤路-兴平路南三巷-墨江北岸-南门路-红旗路-东门路-进士路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4"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二级</w:t>
            </w:r>
          </w:p>
        </w:tc>
        <w:tc>
          <w:tcPr>
            <w:tcW w:w="1205" w:type="dxa"/>
            <w:vAlign w:val="center"/>
          </w:tcPr>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2725</w:t>
            </w:r>
          </w:p>
        </w:tc>
        <w:tc>
          <w:tcPr>
            <w:tcW w:w="7347" w:type="dxa"/>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除上述级别范围外，由以下线路围合而成的区域：</w:t>
            </w:r>
          </w:p>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站南路-规划路-丹凤西路-兴平路-丹凤路-红旗西路-墨江桥北路-永安大道-进士路-东门路-红旗路-南门路-墨江北岸-体育路-黄花园东道-黄花园北道-北门路-永安大道-规划路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4"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三级</w:t>
            </w:r>
          </w:p>
        </w:tc>
        <w:tc>
          <w:tcPr>
            <w:tcW w:w="1205" w:type="dxa"/>
            <w:vAlign w:val="center"/>
          </w:tcPr>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1515</w:t>
            </w:r>
          </w:p>
        </w:tc>
        <w:tc>
          <w:tcPr>
            <w:tcW w:w="7347" w:type="dxa"/>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除上述级别范围外，由以下线路围合而成的区域：</w:t>
            </w:r>
          </w:p>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赣韶铁路-规划路-丹凤山北部-绿健体育公园东侧中国石化-规划路-墨江北岸-兴平路南三巷-兴平路-丹凤西路-规划路-站南路-规划路-永安大道-北门路-黄花园北道-黄花园东道-体育路-墨江北岸-规划路-G220-永安大道</w:t>
            </w:r>
          </w:p>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墨江南岸-规划路-河南路-体育路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jc w:val="center"/>
        </w:trPr>
        <w:tc>
          <w:tcPr>
            <w:tcW w:w="734"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四级</w:t>
            </w:r>
          </w:p>
        </w:tc>
        <w:tc>
          <w:tcPr>
            <w:tcW w:w="1205" w:type="dxa"/>
            <w:vAlign w:val="center"/>
          </w:tcPr>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919</w:t>
            </w:r>
          </w:p>
        </w:tc>
        <w:tc>
          <w:tcPr>
            <w:tcW w:w="7347" w:type="dxa"/>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除上述级别范围外，由以下线路围合而成的区域：</w:t>
            </w:r>
          </w:p>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规划路-规划路-Y313-赣韶铁路-山体分界线-永安大道-兴平路-规划路-兴隆大桥-河南路以南100米范围-河南路以南200米范围-下塘新城建筑物边界-大井头村建筑物边界-河南路以南170米范围-河南路以南60米范围-规划路-墨江南岸-墨江北岸-规划路-迎宾大道-规划路-G220以北160米范围-永安大道以东170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4"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五级</w:t>
            </w:r>
          </w:p>
        </w:tc>
        <w:tc>
          <w:tcPr>
            <w:tcW w:w="1205" w:type="dxa"/>
            <w:vAlign w:val="center"/>
          </w:tcPr>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535</w:t>
            </w:r>
          </w:p>
        </w:tc>
        <w:tc>
          <w:tcPr>
            <w:tcW w:w="7347" w:type="dxa"/>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bl>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始兴城区2022年住宅用地基准地价级别范围</w:t>
      </w:r>
    </w:p>
    <w:tbl>
      <w:tblPr>
        <w:tblStyle w:val="48"/>
        <w:tblW w:w="928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1205"/>
        <w:gridCol w:w="7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9286" w:type="dxa"/>
            <w:gridSpan w:val="3"/>
            <w:tcBorders>
              <w:top w:val="nil"/>
              <w:left w:val="nil"/>
              <w:bottom w:val="single" w:color="auto" w:sz="4" w:space="0"/>
              <w:right w:val="nil"/>
            </w:tcBorders>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pacing w:val="-1"/>
                <w:sz w:val="24"/>
              </w:rPr>
              <w:t>(以下级别范围描述仅供参考，具体级</w:t>
            </w:r>
            <w:r>
              <w:rPr>
                <w:rFonts w:hint="eastAsia" w:ascii="仿宋_GB2312" w:hAnsi="仿宋_GB2312" w:eastAsia="仿宋_GB2312" w:cs="仿宋_GB2312"/>
                <w:sz w:val="24"/>
              </w:rPr>
              <w:t>别范围以基准地价级别图为准)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734" w:type="dxa"/>
            <w:tcBorders>
              <w:top w:val="single" w:color="auto" w:sz="4" w:space="0"/>
            </w:tcBorders>
            <w:vAlign w:val="center"/>
          </w:tcPr>
          <w:p>
            <w:pPr>
              <w:pStyle w:val="2"/>
              <w:adjustRightInd w:val="0"/>
              <w:ind w:firstLine="0" w:firstLineChars="0"/>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土地级别</w:t>
            </w:r>
          </w:p>
        </w:tc>
        <w:tc>
          <w:tcPr>
            <w:tcW w:w="1205" w:type="dxa"/>
            <w:tcBorders>
              <w:top w:val="single" w:color="auto" w:sz="4" w:space="0"/>
            </w:tcBorders>
            <w:vAlign w:val="center"/>
          </w:tcPr>
          <w:p>
            <w:pPr>
              <w:pStyle w:val="2"/>
              <w:adjustRightInd w:val="0"/>
              <w:ind w:firstLine="0" w:firstLineChars="0"/>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级别价</w:t>
            </w:r>
          </w:p>
          <w:p>
            <w:pPr>
              <w:pStyle w:val="2"/>
              <w:adjustRightInd w:val="0"/>
              <w:ind w:firstLine="0" w:firstLineChars="0"/>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（元/㎡）</w:t>
            </w:r>
          </w:p>
        </w:tc>
        <w:tc>
          <w:tcPr>
            <w:tcW w:w="7347" w:type="dxa"/>
            <w:tcBorders>
              <w:top w:val="single" w:color="auto" w:sz="4" w:space="0"/>
            </w:tcBorders>
            <w:vAlign w:val="center"/>
          </w:tcPr>
          <w:p>
            <w:pPr>
              <w:pStyle w:val="2"/>
              <w:adjustRightInd w:val="0"/>
              <w:ind w:firstLine="0" w:firstLineChars="0"/>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4" w:type="dxa"/>
            <w:vAlign w:val="center"/>
          </w:tcPr>
          <w:p>
            <w:pPr>
              <w:pStyle w:val="2"/>
              <w:adjustRightInd w:val="0"/>
              <w:ind w:firstLine="0" w:firstLineChars="0"/>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一级</w:t>
            </w:r>
          </w:p>
        </w:tc>
        <w:tc>
          <w:tcPr>
            <w:tcW w:w="1205"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680</w:t>
            </w:r>
          </w:p>
        </w:tc>
        <w:tc>
          <w:tcPr>
            <w:tcW w:w="7347"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由以下线路围合而成：</w:t>
            </w:r>
          </w:p>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永安大道-丹凤西路-兴平路-兴平路南三巷-墨江北岸-体育路-迎宾大道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4" w:type="dxa"/>
            <w:vAlign w:val="center"/>
          </w:tcPr>
          <w:p>
            <w:pPr>
              <w:pStyle w:val="2"/>
              <w:adjustRightInd w:val="0"/>
              <w:ind w:firstLine="0" w:firstLineChars="0"/>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二级</w:t>
            </w:r>
          </w:p>
        </w:tc>
        <w:tc>
          <w:tcPr>
            <w:tcW w:w="1205"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585</w:t>
            </w:r>
          </w:p>
        </w:tc>
        <w:tc>
          <w:tcPr>
            <w:tcW w:w="7347"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除上述级别范围外，由以下线路围合而成的区域：</w:t>
            </w:r>
          </w:p>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站南路-规划路-永安大道-规划路-兴平路-墨江北岸-兴平路南三巷-兴平路-丹凤西路-永安大道-迎宾大道-体育路-墨江北岸-规划路-纵九路-规划路-黄花园北道-北门路-永安大道-规划路</w:t>
            </w:r>
          </w:p>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墨江南岸-墨江桥南路-河南路-体育路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4" w:type="dxa"/>
            <w:vAlign w:val="center"/>
          </w:tcPr>
          <w:p>
            <w:pPr>
              <w:pStyle w:val="2"/>
              <w:adjustRightInd w:val="0"/>
              <w:ind w:firstLine="0" w:firstLineChars="0"/>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三级</w:t>
            </w:r>
          </w:p>
        </w:tc>
        <w:tc>
          <w:tcPr>
            <w:tcW w:w="1205"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426</w:t>
            </w:r>
          </w:p>
        </w:tc>
        <w:tc>
          <w:tcPr>
            <w:tcW w:w="7347"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除上述级别范围外，由以下线路围合而成的区域：</w:t>
            </w:r>
          </w:p>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赣韶铁路-规划路-丹凤山北部-兴平路-规划路-墨江北岸-规划路-永安大道-规划路-站南路-规划路-永安大道-北门路-黄花园北道-规划路-纵九路-墨江北岸-规划路-G220-G323</w:t>
            </w:r>
          </w:p>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墨江南岸-规划路-河南路-河南路以南100米范围-河南路以南200米范围-下塘新城建筑物边界-大井头村建筑物边界-河南路以南170米范围-河南路以南60米范围-规划路-墨江南岸-体育路-河南路-墨江桥南路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jc w:val="center"/>
        </w:trPr>
        <w:tc>
          <w:tcPr>
            <w:tcW w:w="734" w:type="dxa"/>
            <w:vAlign w:val="center"/>
          </w:tcPr>
          <w:p>
            <w:pPr>
              <w:pStyle w:val="2"/>
              <w:adjustRightInd w:val="0"/>
              <w:ind w:firstLine="0" w:firstLineChars="0"/>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四级</w:t>
            </w:r>
          </w:p>
        </w:tc>
        <w:tc>
          <w:tcPr>
            <w:tcW w:w="1205"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311</w:t>
            </w:r>
          </w:p>
        </w:tc>
        <w:tc>
          <w:tcPr>
            <w:tcW w:w="7347"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除上述级别范围外，由以下线路围合而成的区域：</w:t>
            </w:r>
          </w:p>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规划路-Y313-赣韶铁路-G323-规划路-墨江东岸-墨江北岸-规划路-兴平路-丹凤山北部-规划路-赣韶铁路-G323-G220-规划路-墨江北岸-规划路-G220以北160米范围-永安大道以东170米</w:t>
            </w:r>
          </w:p>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墨江南岸-规划路-河南路以南60米范围内-规划路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4" w:type="dxa"/>
            <w:vAlign w:val="center"/>
          </w:tcPr>
          <w:p>
            <w:pPr>
              <w:pStyle w:val="2"/>
              <w:adjustRightInd w:val="0"/>
              <w:ind w:firstLine="0" w:firstLineChars="0"/>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五级</w:t>
            </w:r>
          </w:p>
        </w:tc>
        <w:tc>
          <w:tcPr>
            <w:tcW w:w="1205"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248</w:t>
            </w:r>
          </w:p>
        </w:tc>
        <w:tc>
          <w:tcPr>
            <w:tcW w:w="7347"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bl>
    <w:p>
      <w:pPr>
        <w:pStyle w:val="2"/>
      </w:pP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始兴城区2022年工业用地基准地价级别范围</w:t>
      </w:r>
    </w:p>
    <w:tbl>
      <w:tblPr>
        <w:tblStyle w:val="48"/>
        <w:tblW w:w="928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1233"/>
        <w:gridCol w:w="73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9286" w:type="dxa"/>
            <w:gridSpan w:val="3"/>
            <w:tcBorders>
              <w:top w:val="nil"/>
              <w:left w:val="nil"/>
              <w:bottom w:val="single" w:color="auto" w:sz="4" w:space="0"/>
              <w:right w:val="nil"/>
            </w:tcBorders>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pacing w:val="-1"/>
                <w:sz w:val="24"/>
              </w:rPr>
              <w:t>(以下级别范围描述仅供参考，具体级</w:t>
            </w:r>
            <w:r>
              <w:rPr>
                <w:rFonts w:hint="eastAsia" w:ascii="仿宋_GB2312" w:hAnsi="仿宋_GB2312" w:eastAsia="仿宋_GB2312" w:cs="仿宋_GB2312"/>
                <w:sz w:val="24"/>
              </w:rPr>
              <w:t>别范围以基准地价级别图为准)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734" w:type="dxa"/>
            <w:tcBorders>
              <w:top w:val="single" w:color="auto" w:sz="4" w:space="0"/>
            </w:tcBorders>
            <w:vAlign w:val="center"/>
          </w:tcPr>
          <w:p>
            <w:pPr>
              <w:pStyle w:val="2"/>
              <w:adjustRightInd w:val="0"/>
              <w:ind w:firstLine="0" w:firstLineChars="0"/>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土地级别</w:t>
            </w:r>
          </w:p>
        </w:tc>
        <w:tc>
          <w:tcPr>
            <w:tcW w:w="1233" w:type="dxa"/>
            <w:tcBorders>
              <w:top w:val="single" w:color="auto" w:sz="4" w:space="0"/>
            </w:tcBorders>
            <w:vAlign w:val="center"/>
          </w:tcPr>
          <w:p>
            <w:pPr>
              <w:pStyle w:val="2"/>
              <w:adjustRightInd w:val="0"/>
              <w:ind w:firstLine="0" w:firstLineChars="0"/>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级别价</w:t>
            </w:r>
          </w:p>
          <w:p>
            <w:pPr>
              <w:pStyle w:val="2"/>
              <w:adjustRightInd w:val="0"/>
              <w:ind w:firstLine="0" w:firstLineChars="0"/>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（元/㎡）</w:t>
            </w:r>
          </w:p>
        </w:tc>
        <w:tc>
          <w:tcPr>
            <w:tcW w:w="7319" w:type="dxa"/>
            <w:tcBorders>
              <w:top w:val="single" w:color="auto" w:sz="4" w:space="0"/>
            </w:tcBorders>
            <w:vAlign w:val="center"/>
          </w:tcPr>
          <w:p>
            <w:pPr>
              <w:pStyle w:val="2"/>
              <w:adjustRightInd w:val="0"/>
              <w:ind w:firstLine="0" w:firstLineChars="0"/>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4" w:type="dxa"/>
            <w:vAlign w:val="center"/>
          </w:tcPr>
          <w:p>
            <w:pPr>
              <w:pStyle w:val="2"/>
              <w:adjustRightInd w:val="0"/>
              <w:ind w:firstLine="0" w:firstLineChars="0"/>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一级</w:t>
            </w:r>
          </w:p>
        </w:tc>
        <w:tc>
          <w:tcPr>
            <w:tcW w:w="123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368</w:t>
            </w:r>
          </w:p>
        </w:tc>
        <w:tc>
          <w:tcPr>
            <w:tcW w:w="7319" w:type="dxa"/>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由以下线路围合而成：</w:t>
            </w:r>
          </w:p>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永安大道-丹凤路-兴平路南三巷-墨江北岸-体育路-迎宾大道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4" w:type="dxa"/>
            <w:vAlign w:val="center"/>
          </w:tcPr>
          <w:p>
            <w:pPr>
              <w:pStyle w:val="2"/>
              <w:adjustRightInd w:val="0"/>
              <w:ind w:firstLine="0" w:firstLineChars="0"/>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二级</w:t>
            </w:r>
          </w:p>
        </w:tc>
        <w:tc>
          <w:tcPr>
            <w:tcW w:w="123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288</w:t>
            </w:r>
          </w:p>
        </w:tc>
        <w:tc>
          <w:tcPr>
            <w:tcW w:w="7319" w:type="dxa"/>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除上述级别范围外，由以下线路围合而成的区域：</w:t>
            </w:r>
          </w:p>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站南路-规划路-丹凤西路-墨江北岸-兴平路南三巷-丹凤路-永安大道-迎宾大道-体育路-墨江北岸-规划路-纵九路-黄花园北道-北门路-永安大道-规划路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34" w:type="dxa"/>
            <w:vAlign w:val="center"/>
          </w:tcPr>
          <w:p>
            <w:pPr>
              <w:pStyle w:val="2"/>
              <w:adjustRightInd w:val="0"/>
              <w:ind w:firstLine="0" w:firstLineChars="0"/>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三级</w:t>
            </w:r>
          </w:p>
        </w:tc>
        <w:tc>
          <w:tcPr>
            <w:tcW w:w="123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218</w:t>
            </w:r>
          </w:p>
        </w:tc>
        <w:tc>
          <w:tcPr>
            <w:tcW w:w="7319" w:type="dxa"/>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除上述级别范围外，由以下线路围合而成的区域：</w:t>
            </w:r>
          </w:p>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赣韶铁路-规划路-丹凤山北部-永安大道-规划路-墨江东岸-墨江北岸-丹凤西路-规划路-站南路-规划路-永安大道-北门路-黄花园北道-纵九路-规划路-墨江北岸-规划路-G220-永安大道</w:t>
            </w:r>
          </w:p>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墨江南岸-府前路-河南路-规划路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jc w:val="center"/>
        </w:trPr>
        <w:tc>
          <w:tcPr>
            <w:tcW w:w="734" w:type="dxa"/>
            <w:vAlign w:val="center"/>
          </w:tcPr>
          <w:p>
            <w:pPr>
              <w:pStyle w:val="2"/>
              <w:adjustRightInd w:val="0"/>
              <w:ind w:firstLine="0" w:firstLineChars="0"/>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四级</w:t>
            </w:r>
          </w:p>
        </w:tc>
        <w:tc>
          <w:tcPr>
            <w:tcW w:w="123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183</w:t>
            </w:r>
          </w:p>
        </w:tc>
        <w:tc>
          <w:tcPr>
            <w:tcW w:w="7319" w:type="dxa"/>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除上述级别范围外，由以下线路围合而成的区域：</w:t>
            </w:r>
          </w:p>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规划路-G323-规划路-墨江东岸-规划路-永安大道-丹凤山北部-规划路-赣韶铁路-永安大道-G220-纵十一路-墨江北岸-墨江一号桥-评估范围边界-规划路-G220以北160米范围-永安大道以东170米</w:t>
            </w:r>
          </w:p>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墨江南岸-兴隆南路-河南路以南100米范围-河南路以南200米范围-下塘新城建筑物边界-大井头村建筑物边界-河南路以南170米范围-河南路以南60米范围-石头桥村委以北350米范围-墨江南岸-规划路-河南路-府前路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 w:hRule="atLeast"/>
          <w:jc w:val="center"/>
        </w:trPr>
        <w:tc>
          <w:tcPr>
            <w:tcW w:w="734" w:type="dxa"/>
            <w:vAlign w:val="center"/>
          </w:tcPr>
          <w:p>
            <w:pPr>
              <w:pStyle w:val="2"/>
              <w:adjustRightInd w:val="0"/>
              <w:ind w:firstLine="0" w:firstLineChars="0"/>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五级</w:t>
            </w:r>
          </w:p>
        </w:tc>
        <w:tc>
          <w:tcPr>
            <w:tcW w:w="123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165</w:t>
            </w:r>
          </w:p>
        </w:tc>
        <w:tc>
          <w:tcPr>
            <w:tcW w:w="7319" w:type="dxa"/>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bl>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始兴城区2022年公共服务用地基准地价级别范围</w:t>
      </w:r>
    </w:p>
    <w:tbl>
      <w:tblPr>
        <w:tblStyle w:val="48"/>
        <w:tblW w:w="928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341"/>
        <w:gridCol w:w="7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9286" w:type="dxa"/>
            <w:gridSpan w:val="3"/>
            <w:tcBorders>
              <w:top w:val="nil"/>
              <w:left w:val="nil"/>
              <w:bottom w:val="single" w:color="auto" w:sz="4" w:space="0"/>
              <w:right w:val="nil"/>
            </w:tcBorders>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pacing w:val="-1"/>
                <w:sz w:val="24"/>
              </w:rPr>
              <w:t>(以下级别范围描述仅供参考，具体级</w:t>
            </w:r>
            <w:r>
              <w:rPr>
                <w:rFonts w:hint="eastAsia" w:ascii="仿宋_GB2312" w:hAnsi="仿宋_GB2312" w:eastAsia="仿宋_GB2312" w:cs="仿宋_GB2312"/>
                <w:sz w:val="24"/>
              </w:rPr>
              <w:t>别范围以基准地价级别图为准)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795" w:type="dxa"/>
            <w:tcBorders>
              <w:top w:val="single" w:color="auto" w:sz="4" w:space="0"/>
            </w:tcBorders>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级别</w:t>
            </w:r>
          </w:p>
        </w:tc>
        <w:tc>
          <w:tcPr>
            <w:tcW w:w="1341" w:type="dxa"/>
            <w:tcBorders>
              <w:top w:val="single" w:color="auto" w:sz="4" w:space="0"/>
            </w:tcBorders>
            <w:vAlign w:val="center"/>
          </w:tcPr>
          <w:p>
            <w:pPr>
              <w:pStyle w:val="2"/>
              <w:adjustRightInd w:val="0"/>
              <w:ind w:firstLine="0" w:firstLineChars="0"/>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级别价</w:t>
            </w:r>
          </w:p>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（元/㎡）</w:t>
            </w:r>
          </w:p>
        </w:tc>
        <w:tc>
          <w:tcPr>
            <w:tcW w:w="7150" w:type="dxa"/>
            <w:tcBorders>
              <w:top w:val="single" w:color="auto" w:sz="4" w:space="0"/>
            </w:tcBorders>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5" w:type="dxa"/>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一级</w:t>
            </w:r>
          </w:p>
        </w:tc>
        <w:tc>
          <w:tcPr>
            <w:tcW w:w="1341"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370</w:t>
            </w:r>
          </w:p>
        </w:tc>
        <w:tc>
          <w:tcPr>
            <w:tcW w:w="7150" w:type="dxa"/>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由以下线路围合而成:</w:t>
            </w:r>
          </w:p>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永安大道-丹凤西路-兴平路-兴平路南三巷-墨江北岸-体育路-迎宾大道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5" w:type="dxa"/>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二级</w:t>
            </w:r>
          </w:p>
        </w:tc>
        <w:tc>
          <w:tcPr>
            <w:tcW w:w="1341"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270</w:t>
            </w:r>
          </w:p>
        </w:tc>
        <w:tc>
          <w:tcPr>
            <w:tcW w:w="7150" w:type="dxa"/>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除上述级别范围外，由以下线路围合而成:</w:t>
            </w:r>
          </w:p>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赣韶铁路-规划路-丹凤山北部-永安大道-兴平路-兴隆北路-兴隆大桥-兴隆南路-河南路以南100米范围-河南路以南200米范围-下塘新城建筑物边界-大井头村建筑物边界-河南路以南170米范围-河南路以南60米范围-规划路-墨江北岸-纵十一路-G220-永安大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5" w:type="dxa"/>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三级</w:t>
            </w:r>
          </w:p>
        </w:tc>
        <w:tc>
          <w:tcPr>
            <w:tcW w:w="1341"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175</w:t>
            </w:r>
          </w:p>
        </w:tc>
        <w:tc>
          <w:tcPr>
            <w:tcW w:w="7150" w:type="dxa"/>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bl>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始兴城区2022年公用设施用地基准地价级别范围</w:t>
      </w:r>
    </w:p>
    <w:tbl>
      <w:tblPr>
        <w:tblStyle w:val="48"/>
        <w:tblW w:w="928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6"/>
        <w:gridCol w:w="1348"/>
        <w:gridCol w:w="7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9286" w:type="dxa"/>
            <w:gridSpan w:val="3"/>
            <w:tcBorders>
              <w:top w:val="nil"/>
              <w:left w:val="nil"/>
              <w:bottom w:val="single" w:color="auto" w:sz="4" w:space="0"/>
              <w:right w:val="nil"/>
            </w:tcBorders>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pacing w:val="-1"/>
                <w:sz w:val="24"/>
              </w:rPr>
              <w:t>(以下级别范围描述仅供参考，具体级</w:t>
            </w:r>
            <w:r>
              <w:rPr>
                <w:rFonts w:hint="eastAsia" w:ascii="仿宋_GB2312" w:hAnsi="仿宋_GB2312" w:eastAsia="仿宋_GB2312" w:cs="仿宋_GB2312"/>
                <w:sz w:val="24"/>
              </w:rPr>
              <w:t>别范围以基准地价级别图为准)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786" w:type="dxa"/>
            <w:tcBorders>
              <w:top w:val="single" w:color="auto" w:sz="4" w:space="0"/>
            </w:tcBorders>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级别</w:t>
            </w:r>
          </w:p>
        </w:tc>
        <w:tc>
          <w:tcPr>
            <w:tcW w:w="1348" w:type="dxa"/>
            <w:tcBorders>
              <w:top w:val="single" w:color="auto" w:sz="4" w:space="0"/>
            </w:tcBorders>
            <w:vAlign w:val="center"/>
          </w:tcPr>
          <w:p>
            <w:pPr>
              <w:pStyle w:val="2"/>
              <w:adjustRightInd w:val="0"/>
              <w:ind w:firstLine="0" w:firstLineChars="0"/>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级别价</w:t>
            </w:r>
          </w:p>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（元/㎡）</w:t>
            </w:r>
          </w:p>
        </w:tc>
        <w:tc>
          <w:tcPr>
            <w:tcW w:w="7152" w:type="dxa"/>
            <w:tcBorders>
              <w:top w:val="single" w:color="auto" w:sz="4" w:space="0"/>
            </w:tcBorders>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jc w:val="center"/>
        </w:trPr>
        <w:tc>
          <w:tcPr>
            <w:tcW w:w="786" w:type="dxa"/>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一级</w:t>
            </w:r>
          </w:p>
        </w:tc>
        <w:tc>
          <w:tcPr>
            <w:tcW w:w="1348"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310</w:t>
            </w:r>
          </w:p>
        </w:tc>
        <w:tc>
          <w:tcPr>
            <w:tcW w:w="7152" w:type="dxa"/>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由以下线路围合而成:</w:t>
            </w:r>
          </w:p>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永安大道-丹凤路-兴平路南三巷-墨江北岸-体育路-迎宾大道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86" w:type="dxa"/>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二级</w:t>
            </w:r>
          </w:p>
        </w:tc>
        <w:tc>
          <w:tcPr>
            <w:tcW w:w="1348"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220</w:t>
            </w:r>
          </w:p>
        </w:tc>
        <w:tc>
          <w:tcPr>
            <w:tcW w:w="7152" w:type="dxa"/>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除上述级别范围外，由以下线路围合而成:</w:t>
            </w:r>
          </w:p>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赣韶铁路-规划路-丹凤山北部-永安大道-规划路-墨江东岸-墨江北岸-金润大桥-府前路-河南路-规划路-墨江北岸-纵十一路-G220-永安大道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86" w:type="dxa"/>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三级</w:t>
            </w:r>
          </w:p>
        </w:tc>
        <w:tc>
          <w:tcPr>
            <w:tcW w:w="1348"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170</w:t>
            </w:r>
          </w:p>
        </w:tc>
        <w:tc>
          <w:tcPr>
            <w:tcW w:w="7152" w:type="dxa"/>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bl>
    <w:p>
      <w:pPr>
        <w:adjustRightInd w:val="0"/>
        <w:spacing w:line="580" w:lineRule="exact"/>
        <w:ind w:firstLine="640"/>
        <w:rPr>
          <w:rFonts w:ascii="楷体_GB2312" w:hAnsi="楷体_GB2312" w:eastAsia="楷体_GB2312" w:cs="楷体_GB2312"/>
          <w:snapToGrid w:val="0"/>
          <w:color w:val="000000"/>
          <w:kern w:val="0"/>
          <w:sz w:val="32"/>
          <w:szCs w:val="32"/>
        </w:rPr>
      </w:pPr>
      <w:bookmarkStart w:id="23" w:name="_Toc23781"/>
      <w:bookmarkStart w:id="24" w:name="_Toc25195"/>
      <w:r>
        <w:rPr>
          <w:rFonts w:hint="eastAsia" w:ascii="楷体_GB2312" w:hAnsi="楷体_GB2312" w:eastAsia="楷体_GB2312" w:cs="楷体_GB2312"/>
          <w:snapToGrid w:val="0"/>
          <w:color w:val="000000"/>
          <w:kern w:val="0"/>
          <w:sz w:val="32"/>
          <w:szCs w:val="32"/>
        </w:rPr>
        <w:t>（二）始兴县乡镇各用途级别基准地价</w:t>
      </w:r>
      <w:bookmarkEnd w:id="23"/>
      <w:bookmarkEnd w:id="24"/>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始兴县乡镇各用途用地级别基准地价表</w:t>
      </w:r>
    </w:p>
    <w:tbl>
      <w:tblPr>
        <w:tblStyle w:val="47"/>
        <w:tblW w:w="928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4"/>
        <w:gridCol w:w="1293"/>
        <w:gridCol w:w="1304"/>
        <w:gridCol w:w="1304"/>
        <w:gridCol w:w="1304"/>
        <w:gridCol w:w="1304"/>
        <w:gridCol w:w="13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9286" w:type="dxa"/>
            <w:gridSpan w:val="7"/>
            <w:tcBorders>
              <w:top w:val="nil"/>
              <w:left w:val="nil"/>
              <w:bottom w:val="single" w:color="auto" w:sz="4" w:space="0"/>
              <w:right w:val="nil"/>
            </w:tcBorders>
            <w:vAlign w:val="center"/>
          </w:tcPr>
          <w:p>
            <w:pPr>
              <w:wordWrap w:val="0"/>
              <w:spacing w:line="240" w:lineRule="auto"/>
              <w:ind w:firstLine="0" w:firstLineChars="0"/>
              <w:jc w:val="right"/>
              <w:rPr>
                <w:rFonts w:ascii="仿宋_GB2312" w:hAnsi="仿宋_GB2312" w:eastAsia="仿宋_GB2312" w:cs="仿宋_GB2312"/>
                <w:kern w:val="0"/>
                <w:sz w:val="24"/>
              </w:rPr>
            </w:pPr>
            <w:r>
              <w:rPr>
                <w:rFonts w:hint="eastAsia" w:ascii="仿宋_GB2312" w:hAnsi="仿宋_GB2312" w:eastAsia="仿宋_GB2312" w:cs="仿宋_GB2312"/>
                <w:sz w:val="24"/>
              </w:rPr>
              <w:t>单位：人民币  元／平方米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blHeader/>
          <w:jc w:val="center"/>
        </w:trPr>
        <w:tc>
          <w:tcPr>
            <w:tcW w:w="1464" w:type="dxa"/>
            <w:vMerge w:val="restart"/>
            <w:tcBorders>
              <w:top w:val="single" w:color="auto" w:sz="4" w:space="0"/>
              <w:bottom w:val="single" w:color="auto" w:sz="4" w:space="0"/>
            </w:tcBorders>
            <w:vAlign w:val="center"/>
          </w:tcPr>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行政区</w:t>
            </w:r>
          </w:p>
        </w:tc>
        <w:tc>
          <w:tcPr>
            <w:tcW w:w="1293" w:type="dxa"/>
            <w:vMerge w:val="restart"/>
            <w:tcBorders>
              <w:top w:val="single" w:color="auto" w:sz="4" w:space="0"/>
              <w:bottom w:val="single" w:color="auto" w:sz="4" w:space="0"/>
            </w:tcBorders>
            <w:vAlign w:val="center"/>
          </w:tcPr>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土地级别</w:t>
            </w:r>
          </w:p>
        </w:tc>
        <w:tc>
          <w:tcPr>
            <w:tcW w:w="1304" w:type="dxa"/>
            <w:tcBorders>
              <w:top w:val="single" w:color="auto" w:sz="4" w:space="0"/>
              <w:bottom w:val="single" w:color="auto" w:sz="4" w:space="0"/>
            </w:tcBorders>
            <w:vAlign w:val="center"/>
          </w:tcPr>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商服用地</w:t>
            </w:r>
          </w:p>
        </w:tc>
        <w:tc>
          <w:tcPr>
            <w:tcW w:w="1304" w:type="dxa"/>
            <w:tcBorders>
              <w:top w:val="single" w:color="auto" w:sz="4" w:space="0"/>
              <w:bottom w:val="single" w:color="auto" w:sz="4" w:space="0"/>
            </w:tcBorders>
            <w:vAlign w:val="center"/>
          </w:tcPr>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住宅用地</w:t>
            </w:r>
          </w:p>
        </w:tc>
        <w:tc>
          <w:tcPr>
            <w:tcW w:w="1304" w:type="dxa"/>
            <w:tcBorders>
              <w:top w:val="single" w:color="auto" w:sz="4" w:space="0"/>
              <w:bottom w:val="single" w:color="auto" w:sz="4" w:space="0"/>
            </w:tcBorders>
            <w:vAlign w:val="center"/>
          </w:tcPr>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工业用地</w:t>
            </w:r>
          </w:p>
        </w:tc>
        <w:tc>
          <w:tcPr>
            <w:tcW w:w="1304" w:type="dxa"/>
            <w:tcBorders>
              <w:top w:val="single" w:color="auto" w:sz="4" w:space="0"/>
              <w:bottom w:val="single" w:color="auto" w:sz="4" w:space="0"/>
            </w:tcBorders>
            <w:vAlign w:val="center"/>
          </w:tcPr>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公共服务用地</w:t>
            </w:r>
          </w:p>
        </w:tc>
        <w:tc>
          <w:tcPr>
            <w:tcW w:w="1313" w:type="dxa"/>
            <w:tcBorders>
              <w:top w:val="single" w:color="auto" w:sz="4" w:space="0"/>
              <w:bottom w:val="single" w:color="auto" w:sz="4" w:space="0"/>
            </w:tcBorders>
            <w:vAlign w:val="center"/>
          </w:tcPr>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公用设施用地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tblHeader/>
          <w:jc w:val="center"/>
        </w:trPr>
        <w:tc>
          <w:tcPr>
            <w:tcW w:w="1464" w:type="dxa"/>
            <w:vMerge w:val="continue"/>
            <w:tcBorders>
              <w:top w:val="single" w:color="auto" w:sz="4" w:space="0"/>
            </w:tcBorders>
            <w:vAlign w:val="center"/>
          </w:tcPr>
          <w:p>
            <w:pPr>
              <w:spacing w:line="240" w:lineRule="auto"/>
              <w:ind w:firstLine="0" w:firstLineChars="0"/>
              <w:jc w:val="center"/>
              <w:rPr>
                <w:rFonts w:ascii="仿宋_GB2312" w:hAnsi="仿宋_GB2312" w:eastAsia="仿宋_GB2312" w:cs="仿宋_GB2312"/>
                <w:sz w:val="24"/>
              </w:rPr>
            </w:pPr>
          </w:p>
        </w:tc>
        <w:tc>
          <w:tcPr>
            <w:tcW w:w="1293" w:type="dxa"/>
            <w:vMerge w:val="continue"/>
            <w:tcBorders>
              <w:top w:val="single" w:color="auto" w:sz="4" w:space="0"/>
            </w:tcBorders>
            <w:vAlign w:val="center"/>
          </w:tcPr>
          <w:p>
            <w:pPr>
              <w:spacing w:line="240" w:lineRule="auto"/>
              <w:ind w:firstLine="0" w:firstLineChars="0"/>
              <w:jc w:val="center"/>
              <w:rPr>
                <w:rFonts w:ascii="仿宋_GB2312" w:hAnsi="仿宋_GB2312" w:eastAsia="仿宋_GB2312" w:cs="仿宋_GB2312"/>
                <w:sz w:val="24"/>
              </w:rPr>
            </w:pPr>
          </w:p>
        </w:tc>
        <w:tc>
          <w:tcPr>
            <w:tcW w:w="1304" w:type="dxa"/>
            <w:tcBorders>
              <w:top w:val="single" w:color="auto" w:sz="4" w:space="0"/>
            </w:tcBorders>
            <w:vAlign w:val="center"/>
          </w:tcPr>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首层楼面地价</w:t>
            </w:r>
          </w:p>
        </w:tc>
        <w:tc>
          <w:tcPr>
            <w:tcW w:w="1304" w:type="dxa"/>
            <w:tcBorders>
              <w:top w:val="single" w:color="auto" w:sz="4" w:space="0"/>
            </w:tcBorders>
            <w:vAlign w:val="center"/>
          </w:tcPr>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平均楼面地价</w:t>
            </w:r>
          </w:p>
        </w:tc>
        <w:tc>
          <w:tcPr>
            <w:tcW w:w="1304" w:type="dxa"/>
            <w:tcBorders>
              <w:top w:val="single" w:color="auto" w:sz="4" w:space="0"/>
            </w:tcBorders>
            <w:vAlign w:val="center"/>
          </w:tcPr>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地面地价</w:t>
            </w:r>
          </w:p>
        </w:tc>
        <w:tc>
          <w:tcPr>
            <w:tcW w:w="1304" w:type="dxa"/>
            <w:tcBorders>
              <w:top w:val="single" w:color="auto" w:sz="4" w:space="0"/>
            </w:tcBorders>
            <w:vAlign w:val="center"/>
          </w:tcPr>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平均楼面地价</w:t>
            </w:r>
          </w:p>
        </w:tc>
        <w:tc>
          <w:tcPr>
            <w:tcW w:w="1313" w:type="dxa"/>
            <w:tcBorders>
              <w:top w:val="single" w:color="auto" w:sz="4" w:space="0"/>
            </w:tcBorders>
            <w:vAlign w:val="center"/>
          </w:tcPr>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地面地价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1464" w:type="dxa"/>
            <w:vMerge w:val="restart"/>
            <w:vAlign w:val="center"/>
          </w:tcPr>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马市镇</w:t>
            </w:r>
          </w:p>
        </w:tc>
        <w:tc>
          <w:tcPr>
            <w:tcW w:w="1293" w:type="dxa"/>
            <w:vAlign w:val="center"/>
          </w:tcPr>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I级</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1283</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480</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365</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319</w:t>
            </w:r>
          </w:p>
        </w:tc>
        <w:tc>
          <w:tcPr>
            <w:tcW w:w="131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1464" w:type="dxa"/>
            <w:vMerge w:val="continue"/>
            <w:vAlign w:val="center"/>
          </w:tcPr>
          <w:p>
            <w:pPr>
              <w:spacing w:line="240" w:lineRule="auto"/>
              <w:ind w:firstLine="0" w:firstLineChars="0"/>
              <w:jc w:val="center"/>
              <w:rPr>
                <w:rFonts w:ascii="仿宋_GB2312" w:hAnsi="仿宋_GB2312" w:eastAsia="仿宋_GB2312" w:cs="仿宋_GB2312"/>
                <w:sz w:val="24"/>
              </w:rPr>
            </w:pPr>
          </w:p>
        </w:tc>
        <w:tc>
          <w:tcPr>
            <w:tcW w:w="1293" w:type="dxa"/>
            <w:vAlign w:val="center"/>
          </w:tcPr>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Ⅱ级</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708</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370</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253</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218</w:t>
            </w:r>
          </w:p>
        </w:tc>
        <w:tc>
          <w:tcPr>
            <w:tcW w:w="131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1464" w:type="dxa"/>
            <w:vMerge w:val="continue"/>
            <w:vAlign w:val="center"/>
          </w:tcPr>
          <w:p>
            <w:pPr>
              <w:spacing w:line="240" w:lineRule="auto"/>
              <w:ind w:firstLine="0" w:firstLineChars="0"/>
              <w:jc w:val="center"/>
              <w:rPr>
                <w:rFonts w:ascii="仿宋_GB2312" w:hAnsi="仿宋_GB2312" w:eastAsia="仿宋_GB2312" w:cs="仿宋_GB2312"/>
                <w:sz w:val="24"/>
              </w:rPr>
            </w:pPr>
          </w:p>
        </w:tc>
        <w:tc>
          <w:tcPr>
            <w:tcW w:w="1293" w:type="dxa"/>
            <w:vAlign w:val="center"/>
          </w:tcPr>
          <w:p>
            <w:pPr>
              <w:widowControl/>
              <w:autoSpaceDE/>
              <w:autoSpaceDN/>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Ⅲ级</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431</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235</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180</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131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1464" w:type="dxa"/>
            <w:vMerge w:val="restart"/>
            <w:vAlign w:val="center"/>
          </w:tcPr>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顿岗镇</w:t>
            </w:r>
          </w:p>
        </w:tc>
        <w:tc>
          <w:tcPr>
            <w:tcW w:w="129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I级</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1264</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470</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360</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304</w:t>
            </w:r>
          </w:p>
        </w:tc>
        <w:tc>
          <w:tcPr>
            <w:tcW w:w="131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1464" w:type="dxa"/>
            <w:vMerge w:val="continue"/>
            <w:vAlign w:val="center"/>
          </w:tcPr>
          <w:p>
            <w:pPr>
              <w:spacing w:line="240" w:lineRule="auto"/>
              <w:ind w:firstLine="0" w:firstLineChars="0"/>
              <w:jc w:val="center"/>
              <w:rPr>
                <w:rFonts w:ascii="仿宋_GB2312" w:hAnsi="仿宋_GB2312" w:eastAsia="仿宋_GB2312" w:cs="仿宋_GB2312"/>
                <w:sz w:val="24"/>
              </w:rPr>
            </w:pPr>
          </w:p>
        </w:tc>
        <w:tc>
          <w:tcPr>
            <w:tcW w:w="129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Ⅱ级</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696</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360</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253</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216</w:t>
            </w:r>
          </w:p>
        </w:tc>
        <w:tc>
          <w:tcPr>
            <w:tcW w:w="131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1464" w:type="dxa"/>
            <w:vMerge w:val="continue"/>
            <w:vAlign w:val="center"/>
          </w:tcPr>
          <w:p>
            <w:pPr>
              <w:spacing w:line="240" w:lineRule="auto"/>
              <w:ind w:firstLine="0" w:firstLineChars="0"/>
              <w:jc w:val="center"/>
              <w:rPr>
                <w:rFonts w:ascii="仿宋_GB2312" w:hAnsi="仿宋_GB2312" w:eastAsia="仿宋_GB2312" w:cs="仿宋_GB2312"/>
                <w:sz w:val="24"/>
              </w:rPr>
            </w:pPr>
          </w:p>
        </w:tc>
        <w:tc>
          <w:tcPr>
            <w:tcW w:w="129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Ⅲ级</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422</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230</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180</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131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1464" w:type="dxa"/>
            <w:vMerge w:val="restart"/>
            <w:vAlign w:val="center"/>
          </w:tcPr>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沈所镇</w:t>
            </w:r>
          </w:p>
        </w:tc>
        <w:tc>
          <w:tcPr>
            <w:tcW w:w="129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I级</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1156</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385</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295</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282</w:t>
            </w:r>
          </w:p>
        </w:tc>
        <w:tc>
          <w:tcPr>
            <w:tcW w:w="131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1464" w:type="dxa"/>
            <w:vMerge w:val="continue"/>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p>
        </w:tc>
        <w:tc>
          <w:tcPr>
            <w:tcW w:w="129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Ⅱ级</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684</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280</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245</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214</w:t>
            </w:r>
          </w:p>
        </w:tc>
        <w:tc>
          <w:tcPr>
            <w:tcW w:w="131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1464" w:type="dxa"/>
            <w:vMerge w:val="continue"/>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p>
        </w:tc>
        <w:tc>
          <w:tcPr>
            <w:tcW w:w="129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Ⅲ级</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409</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190</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180</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131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1464" w:type="dxa"/>
            <w:vMerge w:val="restart"/>
            <w:vAlign w:val="center"/>
          </w:tcPr>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司前镇</w:t>
            </w:r>
          </w:p>
        </w:tc>
        <w:tc>
          <w:tcPr>
            <w:tcW w:w="129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I级</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866</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255</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195</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230</w:t>
            </w:r>
          </w:p>
        </w:tc>
        <w:tc>
          <w:tcPr>
            <w:tcW w:w="131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1464" w:type="dxa"/>
            <w:vMerge w:val="continue"/>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p>
        </w:tc>
        <w:tc>
          <w:tcPr>
            <w:tcW w:w="129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Ⅱ级</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633</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185</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155</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155</w:t>
            </w:r>
          </w:p>
        </w:tc>
        <w:tc>
          <w:tcPr>
            <w:tcW w:w="131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1464" w:type="dxa"/>
            <w:vMerge w:val="continue"/>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p>
        </w:tc>
        <w:tc>
          <w:tcPr>
            <w:tcW w:w="129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Ⅲ级</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403</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145</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140</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131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1464" w:type="dxa"/>
            <w:vMerge w:val="restart"/>
            <w:vAlign w:val="center"/>
          </w:tcPr>
          <w:p>
            <w:pPr>
              <w:widowControl/>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隘子镇</w:t>
            </w:r>
          </w:p>
        </w:tc>
        <w:tc>
          <w:tcPr>
            <w:tcW w:w="129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I级</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849</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245</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185</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220</w:t>
            </w:r>
          </w:p>
        </w:tc>
        <w:tc>
          <w:tcPr>
            <w:tcW w:w="131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1464" w:type="dxa"/>
            <w:vMerge w:val="continue"/>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p>
        </w:tc>
        <w:tc>
          <w:tcPr>
            <w:tcW w:w="129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Ⅱ级</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624</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185</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155</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151</w:t>
            </w:r>
          </w:p>
        </w:tc>
        <w:tc>
          <w:tcPr>
            <w:tcW w:w="131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1464" w:type="dxa"/>
            <w:vMerge w:val="continue"/>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p>
        </w:tc>
        <w:tc>
          <w:tcPr>
            <w:tcW w:w="129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Ⅲ级</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403</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145</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140</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131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1464" w:type="dxa"/>
            <w:vMerge w:val="restart"/>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罗坝镇</w:t>
            </w:r>
          </w:p>
        </w:tc>
        <w:tc>
          <w:tcPr>
            <w:tcW w:w="129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I级</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785</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240</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185</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201</w:t>
            </w:r>
          </w:p>
        </w:tc>
        <w:tc>
          <w:tcPr>
            <w:tcW w:w="131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1464" w:type="dxa"/>
            <w:vMerge w:val="continue"/>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p>
        </w:tc>
        <w:tc>
          <w:tcPr>
            <w:tcW w:w="129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Ⅱ级</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578</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185</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155</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139</w:t>
            </w:r>
          </w:p>
        </w:tc>
        <w:tc>
          <w:tcPr>
            <w:tcW w:w="131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1464" w:type="dxa"/>
            <w:vMerge w:val="continue"/>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p>
        </w:tc>
        <w:tc>
          <w:tcPr>
            <w:tcW w:w="129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Ⅲ级</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403</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145</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140</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131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1464" w:type="dxa"/>
            <w:vMerge w:val="restart"/>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澄江镇</w:t>
            </w:r>
          </w:p>
        </w:tc>
        <w:tc>
          <w:tcPr>
            <w:tcW w:w="129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I级</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757</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230</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185</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181</w:t>
            </w:r>
          </w:p>
        </w:tc>
        <w:tc>
          <w:tcPr>
            <w:tcW w:w="131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1464" w:type="dxa"/>
            <w:vMerge w:val="continue"/>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p>
        </w:tc>
        <w:tc>
          <w:tcPr>
            <w:tcW w:w="129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Ⅱ级</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615</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185</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155</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127</w:t>
            </w:r>
          </w:p>
        </w:tc>
        <w:tc>
          <w:tcPr>
            <w:tcW w:w="131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1464" w:type="dxa"/>
            <w:vMerge w:val="continue"/>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p>
        </w:tc>
        <w:tc>
          <w:tcPr>
            <w:tcW w:w="129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Ⅲ级</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394</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145</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140</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131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1464" w:type="dxa"/>
            <w:vMerge w:val="restart"/>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深渡水</w:t>
            </w:r>
          </w:p>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瑶族乡</w:t>
            </w:r>
          </w:p>
        </w:tc>
        <w:tc>
          <w:tcPr>
            <w:tcW w:w="129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I级</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597</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185</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165</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143</w:t>
            </w:r>
          </w:p>
        </w:tc>
        <w:tc>
          <w:tcPr>
            <w:tcW w:w="131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1464" w:type="dxa"/>
            <w:vMerge w:val="continue"/>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p>
        </w:tc>
        <w:tc>
          <w:tcPr>
            <w:tcW w:w="129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Ⅱ级</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394</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145</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145</w:t>
            </w:r>
          </w:p>
        </w:tc>
        <w:tc>
          <w:tcPr>
            <w:tcW w:w="1304"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121</w:t>
            </w:r>
          </w:p>
        </w:tc>
        <w:tc>
          <w:tcPr>
            <w:tcW w:w="131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119</w:t>
            </w:r>
          </w:p>
        </w:tc>
      </w:tr>
    </w:tbl>
    <w:p>
      <w:pPr>
        <w:spacing w:line="60" w:lineRule="exact"/>
        <w:ind w:firstLine="560"/>
      </w:pP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乡镇2022年商服用地基准地价级别范围</w:t>
      </w:r>
    </w:p>
    <w:tbl>
      <w:tblPr>
        <w:tblStyle w:val="48"/>
        <w:tblW w:w="928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709"/>
        <w:gridCol w:w="1183"/>
        <w:gridCol w:w="6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9286" w:type="dxa"/>
            <w:gridSpan w:val="4"/>
            <w:tcBorders>
              <w:top w:val="nil"/>
              <w:left w:val="nil"/>
              <w:bottom w:val="single" w:color="auto" w:sz="4" w:space="0"/>
              <w:right w:val="nil"/>
            </w:tcBorders>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pacing w:val="-1"/>
                <w:sz w:val="24"/>
              </w:rPr>
              <w:t>(以下级别范围描述仅供参考，具体级</w:t>
            </w:r>
            <w:r>
              <w:rPr>
                <w:rFonts w:hint="eastAsia" w:ascii="仿宋_GB2312" w:hAnsi="仿宋_GB2312" w:eastAsia="仿宋_GB2312" w:cs="仿宋_GB2312"/>
                <w:sz w:val="24"/>
              </w:rPr>
              <w:t>别范围以基准地价级别图为准)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709" w:type="dxa"/>
            <w:tcBorders>
              <w:top w:val="single" w:color="auto" w:sz="4" w:space="0"/>
            </w:tcBorders>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镇名</w:t>
            </w:r>
          </w:p>
        </w:tc>
        <w:tc>
          <w:tcPr>
            <w:tcW w:w="709" w:type="dxa"/>
            <w:tcBorders>
              <w:top w:val="single" w:color="auto" w:sz="4" w:space="0"/>
            </w:tcBorders>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级别</w:t>
            </w:r>
          </w:p>
        </w:tc>
        <w:tc>
          <w:tcPr>
            <w:tcW w:w="1183" w:type="dxa"/>
            <w:tcBorders>
              <w:top w:val="single" w:color="auto" w:sz="4" w:space="0"/>
            </w:tcBorders>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级别价</w:t>
            </w:r>
          </w:p>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（元/㎡）</w:t>
            </w:r>
          </w:p>
        </w:tc>
        <w:tc>
          <w:tcPr>
            <w:tcW w:w="6685" w:type="dxa"/>
            <w:tcBorders>
              <w:top w:val="single" w:color="auto" w:sz="4" w:space="0"/>
            </w:tcBorders>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9" w:type="dxa"/>
            <w:vMerge w:val="restart"/>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马市镇</w:t>
            </w:r>
          </w:p>
        </w:tc>
        <w:tc>
          <w:tcPr>
            <w:tcW w:w="709"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一级</w:t>
            </w:r>
          </w:p>
        </w:tc>
        <w:tc>
          <w:tcPr>
            <w:tcW w:w="118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1283</w:t>
            </w:r>
          </w:p>
        </w:tc>
        <w:tc>
          <w:tcPr>
            <w:tcW w:w="6685"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影前街-规划路-G323-新马路以东50米范围-新马路以东10米范围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9" w:type="dxa"/>
            <w:vMerge w:val="continue"/>
            <w:vAlign w:val="center"/>
          </w:tcPr>
          <w:p>
            <w:pPr>
              <w:pStyle w:val="2"/>
              <w:ind w:firstLine="0" w:firstLineChars="0"/>
              <w:jc w:val="center"/>
              <w:rPr>
                <w:rFonts w:ascii="仿宋_GB2312" w:hAnsi="仿宋_GB2312" w:eastAsia="仿宋_GB2312" w:cs="仿宋_GB2312"/>
                <w:sz w:val="24"/>
              </w:rPr>
            </w:pPr>
          </w:p>
        </w:tc>
        <w:tc>
          <w:tcPr>
            <w:tcW w:w="709"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二级</w:t>
            </w:r>
          </w:p>
        </w:tc>
        <w:tc>
          <w:tcPr>
            <w:tcW w:w="118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708</w:t>
            </w:r>
          </w:p>
        </w:tc>
        <w:tc>
          <w:tcPr>
            <w:tcW w:w="6685"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除上述级别范围外，由以下线路围合而成的区域：</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浈江南岸-马市中学西侧边界-马市中心小学西侧边界-建筑边界-马市镇卫生院西侧150米处-马市镇卫生院北侧边界-G323东南侧200米范围-G323东南侧120米范围-G323东南侧240米范围-马市人民法院东侧270米范围-G323北侧60米范围-马市人民法院北侧120米范围-建筑物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9" w:type="dxa"/>
            <w:vMerge w:val="continue"/>
            <w:vAlign w:val="center"/>
          </w:tcPr>
          <w:p>
            <w:pPr>
              <w:pStyle w:val="2"/>
              <w:ind w:firstLine="0" w:firstLineChars="0"/>
              <w:jc w:val="center"/>
              <w:rPr>
                <w:rFonts w:ascii="仿宋_GB2312" w:hAnsi="仿宋_GB2312" w:eastAsia="仿宋_GB2312" w:cs="仿宋_GB2312"/>
                <w:sz w:val="24"/>
              </w:rPr>
            </w:pPr>
          </w:p>
        </w:tc>
        <w:tc>
          <w:tcPr>
            <w:tcW w:w="709"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三级</w:t>
            </w:r>
          </w:p>
        </w:tc>
        <w:tc>
          <w:tcPr>
            <w:tcW w:w="118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431</w:t>
            </w:r>
          </w:p>
        </w:tc>
        <w:tc>
          <w:tcPr>
            <w:tcW w:w="6685"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9" w:type="dxa"/>
            <w:vMerge w:val="restart"/>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顿岗镇</w:t>
            </w:r>
          </w:p>
        </w:tc>
        <w:tc>
          <w:tcPr>
            <w:tcW w:w="709"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一级</w:t>
            </w:r>
          </w:p>
        </w:tc>
        <w:tc>
          <w:tcPr>
            <w:tcW w:w="118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1264</w:t>
            </w:r>
          </w:p>
        </w:tc>
        <w:tc>
          <w:tcPr>
            <w:tcW w:w="6685"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顿岗镇政府北侧河岸-G220东侧建筑物边界-顿岗镇政府西南侧250米处-顿岗人民法院东侧边界-X346-顿岗人民法院东侧100米处-顿岗人民法院东侧110米处-顿岗人民法院东侧180米处-顿岗镇政府东侧400米建筑物边界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9" w:type="dxa"/>
            <w:vMerge w:val="continue"/>
            <w:vAlign w:val="center"/>
          </w:tcPr>
          <w:p>
            <w:pPr>
              <w:pStyle w:val="2"/>
              <w:ind w:firstLine="0" w:firstLineChars="0"/>
              <w:jc w:val="center"/>
              <w:rPr>
                <w:rFonts w:ascii="仿宋_GB2312" w:hAnsi="仿宋_GB2312" w:eastAsia="仿宋_GB2312" w:cs="仿宋_GB2312"/>
                <w:sz w:val="24"/>
              </w:rPr>
            </w:pPr>
          </w:p>
        </w:tc>
        <w:tc>
          <w:tcPr>
            <w:tcW w:w="709"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二级</w:t>
            </w:r>
          </w:p>
        </w:tc>
        <w:tc>
          <w:tcPr>
            <w:tcW w:w="118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696</w:t>
            </w:r>
          </w:p>
        </w:tc>
        <w:tc>
          <w:tcPr>
            <w:tcW w:w="6685"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除上述级别范围外，由以下线路围合而成的区域：</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围下村村委会以北150米范围-围下村北侧建筑边界-顿岗客运站-G220-顿岗派出所南侧200米处路口-顿岗中心小学边界-下门村东侧边界-顿岗镇北侧河流的南岸-建筑物边界线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9" w:type="dxa"/>
            <w:vMerge w:val="continue"/>
            <w:vAlign w:val="center"/>
          </w:tcPr>
          <w:p>
            <w:pPr>
              <w:pStyle w:val="2"/>
              <w:ind w:firstLine="0" w:firstLineChars="0"/>
              <w:jc w:val="center"/>
              <w:rPr>
                <w:rFonts w:ascii="仿宋_GB2312" w:hAnsi="仿宋_GB2312" w:eastAsia="仿宋_GB2312" w:cs="仿宋_GB2312"/>
                <w:sz w:val="24"/>
              </w:rPr>
            </w:pPr>
          </w:p>
        </w:tc>
        <w:tc>
          <w:tcPr>
            <w:tcW w:w="709"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三级</w:t>
            </w:r>
          </w:p>
        </w:tc>
        <w:tc>
          <w:tcPr>
            <w:tcW w:w="118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422</w:t>
            </w:r>
          </w:p>
        </w:tc>
        <w:tc>
          <w:tcPr>
            <w:tcW w:w="6685"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9" w:type="dxa"/>
            <w:vMerge w:val="restart"/>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沈所镇</w:t>
            </w:r>
          </w:p>
        </w:tc>
        <w:tc>
          <w:tcPr>
            <w:tcW w:w="709"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一级</w:t>
            </w:r>
          </w:p>
        </w:tc>
        <w:tc>
          <w:tcPr>
            <w:tcW w:w="118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1156</w:t>
            </w:r>
          </w:p>
        </w:tc>
        <w:tc>
          <w:tcPr>
            <w:tcW w:w="6685"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沈所街北侧沿街建筑范围-沈所镇政府以西270米处-沈所街南侧60米范围内-沈所镇政府大院边界-沈所街南侧沿街建筑范围-沈所派出所东侧60米范围内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9" w:type="dxa"/>
            <w:vMerge w:val="continue"/>
            <w:vAlign w:val="center"/>
          </w:tcPr>
          <w:p>
            <w:pPr>
              <w:pStyle w:val="2"/>
              <w:ind w:firstLine="0" w:firstLineChars="0"/>
              <w:jc w:val="center"/>
              <w:rPr>
                <w:rFonts w:ascii="仿宋_GB2312" w:hAnsi="仿宋_GB2312" w:eastAsia="仿宋_GB2312" w:cs="仿宋_GB2312"/>
                <w:sz w:val="24"/>
              </w:rPr>
            </w:pPr>
          </w:p>
        </w:tc>
        <w:tc>
          <w:tcPr>
            <w:tcW w:w="709"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二级</w:t>
            </w:r>
          </w:p>
        </w:tc>
        <w:tc>
          <w:tcPr>
            <w:tcW w:w="118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684</w:t>
            </w:r>
          </w:p>
        </w:tc>
        <w:tc>
          <w:tcPr>
            <w:tcW w:w="6685"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除上述级别范围外，由以下线路围合而成的区域：</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沈所水北岸-麒麟圣类斯希望小学边界-沈所街南侧100米建筑边界-沈所派出所东侧120米范围内-规划路-建筑物边界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9" w:type="dxa"/>
            <w:vMerge w:val="continue"/>
            <w:vAlign w:val="center"/>
          </w:tcPr>
          <w:p>
            <w:pPr>
              <w:pStyle w:val="2"/>
              <w:ind w:firstLine="0" w:firstLineChars="0"/>
              <w:jc w:val="center"/>
              <w:rPr>
                <w:rFonts w:ascii="仿宋_GB2312" w:hAnsi="仿宋_GB2312" w:eastAsia="仿宋_GB2312" w:cs="仿宋_GB2312"/>
                <w:sz w:val="24"/>
              </w:rPr>
            </w:pPr>
          </w:p>
        </w:tc>
        <w:tc>
          <w:tcPr>
            <w:tcW w:w="709"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三级</w:t>
            </w:r>
          </w:p>
        </w:tc>
        <w:tc>
          <w:tcPr>
            <w:tcW w:w="118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409</w:t>
            </w:r>
          </w:p>
        </w:tc>
        <w:tc>
          <w:tcPr>
            <w:tcW w:w="6685"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9" w:type="dxa"/>
            <w:vMerge w:val="restart"/>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司前镇</w:t>
            </w:r>
          </w:p>
        </w:tc>
        <w:tc>
          <w:tcPr>
            <w:tcW w:w="709" w:type="dxa"/>
            <w:vAlign w:val="center"/>
          </w:tcPr>
          <w:p>
            <w:pPr>
              <w:pStyle w:val="2"/>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一级</w:t>
            </w:r>
          </w:p>
        </w:tc>
        <w:tc>
          <w:tcPr>
            <w:tcW w:w="118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866</w:t>
            </w:r>
          </w:p>
        </w:tc>
        <w:tc>
          <w:tcPr>
            <w:tcW w:w="6685"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墨江西岸-黄沙圩水西岸-规划路-司前大街西侧沿街建筑范围-G220-司前大街东侧沿街建筑范围-司前客运站西南侧240米范围内-G220东侧沿街建筑范围-司前客运站-X346南侧沿街建筑范围-司前工商所边界-X346北侧沿街建筑范围-供电局营业所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9" w:type="dxa"/>
            <w:vMerge w:val="continue"/>
            <w:vAlign w:val="center"/>
          </w:tcPr>
          <w:p>
            <w:pPr>
              <w:pStyle w:val="2"/>
              <w:ind w:firstLine="0" w:firstLineChars="0"/>
              <w:jc w:val="center"/>
              <w:rPr>
                <w:rFonts w:ascii="仿宋_GB2312" w:hAnsi="仿宋_GB2312" w:eastAsia="仿宋_GB2312" w:cs="仿宋_GB2312"/>
                <w:sz w:val="24"/>
              </w:rPr>
            </w:pPr>
          </w:p>
        </w:tc>
        <w:tc>
          <w:tcPr>
            <w:tcW w:w="709" w:type="dxa"/>
            <w:vAlign w:val="center"/>
          </w:tcPr>
          <w:p>
            <w:pPr>
              <w:pStyle w:val="2"/>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二级</w:t>
            </w:r>
          </w:p>
        </w:tc>
        <w:tc>
          <w:tcPr>
            <w:tcW w:w="118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633</w:t>
            </w:r>
          </w:p>
        </w:tc>
        <w:tc>
          <w:tcPr>
            <w:tcW w:w="6685"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除上述级别范围外，由以下线路围合而成的区域：</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G220-司前大街-墨江西岸-黄沙圩水西岸-刘屋排村建筑范围-司前中心南侧边界-司前小学南侧边界-建筑物边界-X346北侧建筑范围-司前镇派出所边界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9" w:type="dxa"/>
            <w:vMerge w:val="continue"/>
            <w:vAlign w:val="center"/>
          </w:tcPr>
          <w:p>
            <w:pPr>
              <w:pStyle w:val="2"/>
              <w:ind w:firstLine="0" w:firstLineChars="0"/>
              <w:jc w:val="center"/>
              <w:rPr>
                <w:rFonts w:ascii="仿宋_GB2312" w:hAnsi="仿宋_GB2312" w:eastAsia="仿宋_GB2312" w:cs="仿宋_GB2312"/>
                <w:sz w:val="24"/>
              </w:rPr>
            </w:pPr>
          </w:p>
        </w:tc>
        <w:tc>
          <w:tcPr>
            <w:tcW w:w="709" w:type="dxa"/>
            <w:vAlign w:val="center"/>
          </w:tcPr>
          <w:p>
            <w:pPr>
              <w:pStyle w:val="2"/>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三级</w:t>
            </w:r>
          </w:p>
        </w:tc>
        <w:tc>
          <w:tcPr>
            <w:tcW w:w="118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403</w:t>
            </w:r>
          </w:p>
        </w:tc>
        <w:tc>
          <w:tcPr>
            <w:tcW w:w="6685"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9" w:type="dxa"/>
            <w:vMerge w:val="restart"/>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隘子镇</w:t>
            </w:r>
          </w:p>
        </w:tc>
        <w:tc>
          <w:tcPr>
            <w:tcW w:w="709" w:type="dxa"/>
            <w:vAlign w:val="center"/>
          </w:tcPr>
          <w:p>
            <w:pPr>
              <w:pStyle w:val="2"/>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一级</w:t>
            </w:r>
          </w:p>
        </w:tc>
        <w:tc>
          <w:tcPr>
            <w:tcW w:w="118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849</w:t>
            </w:r>
          </w:p>
        </w:tc>
        <w:tc>
          <w:tcPr>
            <w:tcW w:w="6685"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隘子大街西侧沿街建筑物范围-隘子中心小学北侧边界-隘子大街东侧沿街建筑物范围-隘子镇政府大院边界-规划路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9" w:type="dxa"/>
            <w:vMerge w:val="continue"/>
            <w:vAlign w:val="center"/>
          </w:tcPr>
          <w:p>
            <w:pPr>
              <w:pStyle w:val="2"/>
              <w:ind w:firstLine="0" w:firstLineChars="0"/>
              <w:jc w:val="center"/>
              <w:rPr>
                <w:rFonts w:ascii="仿宋_GB2312" w:hAnsi="仿宋_GB2312" w:eastAsia="仿宋_GB2312" w:cs="仿宋_GB2312"/>
                <w:sz w:val="24"/>
              </w:rPr>
            </w:pPr>
          </w:p>
        </w:tc>
        <w:tc>
          <w:tcPr>
            <w:tcW w:w="709" w:type="dxa"/>
            <w:vAlign w:val="center"/>
          </w:tcPr>
          <w:p>
            <w:pPr>
              <w:pStyle w:val="2"/>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二级</w:t>
            </w:r>
          </w:p>
        </w:tc>
        <w:tc>
          <w:tcPr>
            <w:tcW w:w="118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624</w:t>
            </w:r>
          </w:p>
        </w:tc>
        <w:tc>
          <w:tcPr>
            <w:tcW w:w="6685"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除上述级别范围外，由以下线路围合而成的区域：</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隘子中心南侧160米处-农民街西侧沿街建筑物范围-瑶尾村建筑范围-隘子大街西侧100米范围-隆兴驾校隘子训练场边界-隘子中心小学南侧边界-建筑物边界-隘子派出所南侧50米-建筑物边界-农民街东侧沿街建筑物范围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9" w:type="dxa"/>
            <w:vMerge w:val="continue"/>
            <w:vAlign w:val="center"/>
          </w:tcPr>
          <w:p>
            <w:pPr>
              <w:pStyle w:val="2"/>
              <w:ind w:firstLine="0" w:firstLineChars="0"/>
              <w:jc w:val="center"/>
              <w:rPr>
                <w:rFonts w:ascii="仿宋_GB2312" w:hAnsi="仿宋_GB2312" w:eastAsia="仿宋_GB2312" w:cs="仿宋_GB2312"/>
                <w:sz w:val="24"/>
              </w:rPr>
            </w:pPr>
          </w:p>
        </w:tc>
        <w:tc>
          <w:tcPr>
            <w:tcW w:w="709" w:type="dxa"/>
            <w:vAlign w:val="center"/>
          </w:tcPr>
          <w:p>
            <w:pPr>
              <w:pStyle w:val="2"/>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三级</w:t>
            </w:r>
          </w:p>
        </w:tc>
        <w:tc>
          <w:tcPr>
            <w:tcW w:w="118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403</w:t>
            </w:r>
          </w:p>
        </w:tc>
        <w:tc>
          <w:tcPr>
            <w:tcW w:w="6685"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9" w:type="dxa"/>
            <w:vMerge w:val="restart"/>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罗坝镇</w:t>
            </w:r>
          </w:p>
        </w:tc>
        <w:tc>
          <w:tcPr>
            <w:tcW w:w="709" w:type="dxa"/>
            <w:vAlign w:val="center"/>
          </w:tcPr>
          <w:p>
            <w:pPr>
              <w:pStyle w:val="2"/>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一级</w:t>
            </w:r>
          </w:p>
        </w:tc>
        <w:tc>
          <w:tcPr>
            <w:tcW w:w="118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785</w:t>
            </w:r>
          </w:p>
        </w:tc>
        <w:tc>
          <w:tcPr>
            <w:tcW w:w="6685"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罗坝水西岸-罗坝中学南侧边界-罗坝中学东侧50米范围内-X346北侧沿街建筑物范围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9" w:type="dxa"/>
            <w:vMerge w:val="continue"/>
            <w:vAlign w:val="center"/>
          </w:tcPr>
          <w:p>
            <w:pPr>
              <w:pStyle w:val="2"/>
              <w:ind w:firstLine="0" w:firstLineChars="0"/>
              <w:jc w:val="center"/>
              <w:rPr>
                <w:rFonts w:ascii="仿宋_GB2312" w:hAnsi="仿宋_GB2312" w:eastAsia="仿宋_GB2312" w:cs="仿宋_GB2312"/>
                <w:sz w:val="24"/>
              </w:rPr>
            </w:pPr>
          </w:p>
        </w:tc>
        <w:tc>
          <w:tcPr>
            <w:tcW w:w="709" w:type="dxa"/>
            <w:vAlign w:val="center"/>
          </w:tcPr>
          <w:p>
            <w:pPr>
              <w:pStyle w:val="2"/>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二级</w:t>
            </w:r>
          </w:p>
        </w:tc>
        <w:tc>
          <w:tcPr>
            <w:tcW w:w="118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578</w:t>
            </w:r>
          </w:p>
        </w:tc>
        <w:tc>
          <w:tcPr>
            <w:tcW w:w="6685"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除上述级别范围外，由以下线路围合而成的区域：</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燎原村村委员会北侧建筑物范围-X346西侧沿街建筑物范围-Y352沿街建筑范围-罗坝水东岸-建筑物边界-贺平村南侧边界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9" w:type="dxa"/>
            <w:vMerge w:val="continue"/>
            <w:vAlign w:val="center"/>
          </w:tcPr>
          <w:p>
            <w:pPr>
              <w:pStyle w:val="2"/>
              <w:ind w:firstLine="0" w:firstLineChars="0"/>
              <w:jc w:val="center"/>
              <w:rPr>
                <w:rFonts w:ascii="仿宋_GB2312" w:hAnsi="仿宋_GB2312" w:eastAsia="仿宋_GB2312" w:cs="仿宋_GB2312"/>
                <w:sz w:val="24"/>
              </w:rPr>
            </w:pPr>
          </w:p>
        </w:tc>
        <w:tc>
          <w:tcPr>
            <w:tcW w:w="709" w:type="dxa"/>
            <w:vAlign w:val="center"/>
          </w:tcPr>
          <w:p>
            <w:pPr>
              <w:pStyle w:val="2"/>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三级</w:t>
            </w:r>
          </w:p>
        </w:tc>
        <w:tc>
          <w:tcPr>
            <w:tcW w:w="118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403</w:t>
            </w:r>
          </w:p>
        </w:tc>
        <w:tc>
          <w:tcPr>
            <w:tcW w:w="6685"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9" w:type="dxa"/>
            <w:vMerge w:val="restart"/>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澄江镇</w:t>
            </w:r>
          </w:p>
        </w:tc>
        <w:tc>
          <w:tcPr>
            <w:tcW w:w="709"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一级</w:t>
            </w:r>
          </w:p>
        </w:tc>
        <w:tc>
          <w:tcPr>
            <w:tcW w:w="118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757</w:t>
            </w:r>
          </w:p>
        </w:tc>
        <w:tc>
          <w:tcPr>
            <w:tcW w:w="6685"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澄江路-澄江路北侧沿街建筑物范围-澄江路南侧60米范围-都安水西岸-澄江镇平安文化广场边界-澄江镇政府大院边界-澄江工商所-建筑物边界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9" w:type="dxa"/>
            <w:vMerge w:val="continue"/>
            <w:vAlign w:val="center"/>
          </w:tcPr>
          <w:p>
            <w:pPr>
              <w:pStyle w:val="2"/>
              <w:ind w:firstLine="0" w:firstLineChars="0"/>
              <w:jc w:val="center"/>
              <w:rPr>
                <w:rFonts w:ascii="仿宋_GB2312" w:hAnsi="仿宋_GB2312" w:eastAsia="仿宋_GB2312" w:cs="仿宋_GB2312"/>
                <w:sz w:val="24"/>
              </w:rPr>
            </w:pPr>
          </w:p>
        </w:tc>
        <w:tc>
          <w:tcPr>
            <w:tcW w:w="709"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二级</w:t>
            </w:r>
          </w:p>
        </w:tc>
        <w:tc>
          <w:tcPr>
            <w:tcW w:w="118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615</w:t>
            </w:r>
          </w:p>
        </w:tc>
        <w:tc>
          <w:tcPr>
            <w:tcW w:w="6685"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除上述级别范围外，由以下线路围合而成的区域：</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澄江中心小学东北200米处-澄江中心小学70米处-澄江中心北侧50米处-腊树下村东侧建筑边界-澄江路北侧150米范围内-澄江烟厂东侧边界-山体边界-都安水西岸-建筑物边界-山体边界-建筑物边界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9" w:type="dxa"/>
            <w:vMerge w:val="continue"/>
            <w:vAlign w:val="center"/>
          </w:tcPr>
          <w:p>
            <w:pPr>
              <w:pStyle w:val="2"/>
              <w:ind w:firstLine="0" w:firstLineChars="0"/>
              <w:jc w:val="center"/>
              <w:rPr>
                <w:rFonts w:ascii="仿宋_GB2312" w:hAnsi="仿宋_GB2312" w:eastAsia="仿宋_GB2312" w:cs="仿宋_GB2312"/>
                <w:sz w:val="24"/>
              </w:rPr>
            </w:pPr>
          </w:p>
        </w:tc>
        <w:tc>
          <w:tcPr>
            <w:tcW w:w="709"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三级</w:t>
            </w:r>
          </w:p>
        </w:tc>
        <w:tc>
          <w:tcPr>
            <w:tcW w:w="118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394</w:t>
            </w:r>
          </w:p>
        </w:tc>
        <w:tc>
          <w:tcPr>
            <w:tcW w:w="6685"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9" w:type="dxa"/>
            <w:vMerge w:val="restart"/>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深渡水瑶族乡</w:t>
            </w:r>
          </w:p>
        </w:tc>
        <w:tc>
          <w:tcPr>
            <w:tcW w:w="709"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一级</w:t>
            </w:r>
          </w:p>
        </w:tc>
        <w:tc>
          <w:tcPr>
            <w:tcW w:w="118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597</w:t>
            </w:r>
          </w:p>
        </w:tc>
        <w:tc>
          <w:tcPr>
            <w:tcW w:w="6685"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规划路沿街建筑-G220南侧沿街建筑-深度水瑶族乡政府大院边界-G220北侧沿街建筑范围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9" w:type="dxa"/>
            <w:vMerge w:val="continue"/>
            <w:vAlign w:val="center"/>
          </w:tcPr>
          <w:p>
            <w:pPr>
              <w:pStyle w:val="2"/>
              <w:ind w:firstLine="0" w:firstLineChars="0"/>
              <w:jc w:val="center"/>
              <w:rPr>
                <w:rFonts w:ascii="仿宋_GB2312" w:hAnsi="仿宋_GB2312" w:eastAsia="仿宋_GB2312" w:cs="仿宋_GB2312"/>
                <w:sz w:val="24"/>
              </w:rPr>
            </w:pPr>
          </w:p>
        </w:tc>
        <w:tc>
          <w:tcPr>
            <w:tcW w:w="709"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二级</w:t>
            </w:r>
          </w:p>
        </w:tc>
        <w:tc>
          <w:tcPr>
            <w:tcW w:w="1183"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394</w:t>
            </w:r>
          </w:p>
        </w:tc>
        <w:tc>
          <w:tcPr>
            <w:tcW w:w="6685"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bl>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乡镇2022年住宅用地基准地价级别范围</w:t>
      </w:r>
    </w:p>
    <w:tbl>
      <w:tblPr>
        <w:tblStyle w:val="4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1"/>
        <w:gridCol w:w="717"/>
        <w:gridCol w:w="1202"/>
        <w:gridCol w:w="66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trPr>
        <w:tc>
          <w:tcPr>
            <w:tcW w:w="9286" w:type="dxa"/>
            <w:gridSpan w:val="4"/>
            <w:tcBorders>
              <w:top w:val="nil"/>
              <w:left w:val="nil"/>
              <w:bottom w:val="single" w:color="auto" w:sz="4" w:space="0"/>
              <w:right w:val="nil"/>
            </w:tcBorders>
            <w:vAlign w:val="center"/>
          </w:tcPr>
          <w:p>
            <w:pPr>
              <w:spacing w:line="240" w:lineRule="auto"/>
              <w:ind w:firstLine="0" w:firstLineChars="0"/>
              <w:jc w:val="center"/>
              <w:rPr>
                <w:rFonts w:ascii="仿宋_GB2312" w:hAnsi="仿宋_GB2312" w:eastAsia="仿宋_GB2312" w:cs="仿宋_GB2312"/>
                <w:sz w:val="24"/>
              </w:rPr>
            </w:pPr>
            <w:bookmarkStart w:id="25" w:name="_Toc7400"/>
            <w:bookmarkStart w:id="26" w:name="_Toc22422"/>
            <w:bookmarkStart w:id="27" w:name="_Toc1913"/>
            <w:r>
              <w:rPr>
                <w:rFonts w:hint="eastAsia" w:ascii="仿宋_GB2312" w:hAnsi="仿宋_GB2312" w:eastAsia="仿宋_GB2312" w:cs="仿宋_GB2312"/>
                <w:spacing w:val="-1"/>
                <w:sz w:val="24"/>
              </w:rPr>
              <w:t>(以下级别范围描述仅供参考，具体级</w:t>
            </w:r>
            <w:r>
              <w:rPr>
                <w:rFonts w:hint="eastAsia" w:ascii="仿宋_GB2312" w:hAnsi="仿宋_GB2312" w:eastAsia="仿宋_GB2312" w:cs="仿宋_GB2312"/>
                <w:sz w:val="24"/>
              </w:rPr>
              <w:t>别范围以基准地价级别图为准)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trPr>
        <w:tc>
          <w:tcPr>
            <w:tcW w:w="701" w:type="dxa"/>
            <w:tcBorders>
              <w:top w:val="single" w:color="auto" w:sz="4" w:space="0"/>
            </w:tcBorders>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镇名</w:t>
            </w:r>
          </w:p>
        </w:tc>
        <w:tc>
          <w:tcPr>
            <w:tcW w:w="717" w:type="dxa"/>
            <w:tcBorders>
              <w:top w:val="single" w:color="auto" w:sz="4" w:space="0"/>
            </w:tcBorders>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级别</w:t>
            </w:r>
          </w:p>
        </w:tc>
        <w:tc>
          <w:tcPr>
            <w:tcW w:w="1202" w:type="dxa"/>
            <w:tcBorders>
              <w:top w:val="single" w:color="auto" w:sz="4" w:space="0"/>
            </w:tcBorders>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级别价</w:t>
            </w:r>
          </w:p>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（元/㎡）</w:t>
            </w:r>
          </w:p>
        </w:tc>
        <w:tc>
          <w:tcPr>
            <w:tcW w:w="6666" w:type="dxa"/>
            <w:tcBorders>
              <w:top w:val="single" w:color="auto" w:sz="4" w:space="0"/>
            </w:tcBorders>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01" w:type="dxa"/>
            <w:vMerge w:val="restart"/>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马市镇</w:t>
            </w:r>
          </w:p>
        </w:tc>
        <w:tc>
          <w:tcPr>
            <w:tcW w:w="717"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一级</w:t>
            </w:r>
          </w:p>
        </w:tc>
        <w:tc>
          <w:tcPr>
            <w:tcW w:w="1202"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480</w:t>
            </w:r>
          </w:p>
        </w:tc>
        <w:tc>
          <w:tcPr>
            <w:tcW w:w="6666"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影前街-规划路-G323-新马路以东50米范围-新马路以东10米范围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01" w:type="dxa"/>
            <w:vMerge w:val="continue"/>
            <w:vAlign w:val="center"/>
          </w:tcPr>
          <w:p>
            <w:pPr>
              <w:pStyle w:val="2"/>
              <w:ind w:firstLine="0" w:firstLineChars="0"/>
              <w:jc w:val="center"/>
              <w:rPr>
                <w:rFonts w:ascii="仿宋_GB2312" w:hAnsi="仿宋_GB2312" w:eastAsia="仿宋_GB2312" w:cs="仿宋_GB2312"/>
                <w:sz w:val="24"/>
              </w:rPr>
            </w:pPr>
          </w:p>
        </w:tc>
        <w:tc>
          <w:tcPr>
            <w:tcW w:w="717"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二级</w:t>
            </w:r>
          </w:p>
        </w:tc>
        <w:tc>
          <w:tcPr>
            <w:tcW w:w="1202"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370</w:t>
            </w:r>
          </w:p>
        </w:tc>
        <w:tc>
          <w:tcPr>
            <w:tcW w:w="6666"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除上述级别范围外，由以下线路围合而成的区域：</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浈江南岸-马市中学西侧边界-马市中心小学西侧边界-建筑边界-马市镇卫生院西侧150米处-马市镇卫生院北侧边界-G323东南侧200米范围-G323东南侧120米范围-G323东南侧240米范围-马市人民法院东侧270米范围-G323北侧60米范围-马市人民法院北侧120米范围-建筑物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01" w:type="dxa"/>
            <w:vMerge w:val="continue"/>
            <w:vAlign w:val="center"/>
          </w:tcPr>
          <w:p>
            <w:pPr>
              <w:pStyle w:val="2"/>
              <w:ind w:firstLine="0" w:firstLineChars="0"/>
              <w:jc w:val="center"/>
              <w:rPr>
                <w:rFonts w:ascii="仿宋_GB2312" w:hAnsi="仿宋_GB2312" w:eastAsia="仿宋_GB2312" w:cs="仿宋_GB2312"/>
                <w:sz w:val="24"/>
              </w:rPr>
            </w:pPr>
          </w:p>
        </w:tc>
        <w:tc>
          <w:tcPr>
            <w:tcW w:w="717"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三级</w:t>
            </w:r>
          </w:p>
        </w:tc>
        <w:tc>
          <w:tcPr>
            <w:tcW w:w="1202"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235</w:t>
            </w:r>
          </w:p>
        </w:tc>
        <w:tc>
          <w:tcPr>
            <w:tcW w:w="6666"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01" w:type="dxa"/>
            <w:vMerge w:val="restart"/>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顿岗镇</w:t>
            </w:r>
          </w:p>
        </w:tc>
        <w:tc>
          <w:tcPr>
            <w:tcW w:w="717"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一级</w:t>
            </w:r>
          </w:p>
        </w:tc>
        <w:tc>
          <w:tcPr>
            <w:tcW w:w="1202"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470</w:t>
            </w:r>
          </w:p>
        </w:tc>
        <w:tc>
          <w:tcPr>
            <w:tcW w:w="6666"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顿岗镇政府北侧河岸-G220东侧建筑物边界-顿岗镇政府西南侧250米处-顿岗人民法院东侧边界-X346-顿岗人民法院东侧100米处-顿岗人民法院东侧110米处-顿岗人民法院东侧180米处-顿岗镇政府东侧400米建筑部边界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01" w:type="dxa"/>
            <w:vMerge w:val="continue"/>
            <w:vAlign w:val="center"/>
          </w:tcPr>
          <w:p>
            <w:pPr>
              <w:pStyle w:val="2"/>
              <w:ind w:firstLine="0" w:firstLineChars="0"/>
              <w:jc w:val="center"/>
              <w:rPr>
                <w:rFonts w:ascii="仿宋_GB2312" w:hAnsi="仿宋_GB2312" w:eastAsia="仿宋_GB2312" w:cs="仿宋_GB2312"/>
                <w:sz w:val="24"/>
              </w:rPr>
            </w:pPr>
          </w:p>
        </w:tc>
        <w:tc>
          <w:tcPr>
            <w:tcW w:w="717"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二级</w:t>
            </w:r>
          </w:p>
        </w:tc>
        <w:tc>
          <w:tcPr>
            <w:tcW w:w="1202"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360</w:t>
            </w:r>
          </w:p>
        </w:tc>
        <w:tc>
          <w:tcPr>
            <w:tcW w:w="6666"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除上述级别范围外，由以下线路围合而成的区域：</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围下村村委会以北150米范围-围下村北侧建筑边界-顿岗客运站-G220-顿岗派出所南侧200米处路口-顿岗中心小学边界-下门村东侧边界-顿岗镇北侧河流的南岸-建筑物边界线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01" w:type="dxa"/>
            <w:vMerge w:val="continue"/>
            <w:vAlign w:val="center"/>
          </w:tcPr>
          <w:p>
            <w:pPr>
              <w:pStyle w:val="2"/>
              <w:ind w:firstLine="0" w:firstLineChars="0"/>
              <w:jc w:val="center"/>
              <w:rPr>
                <w:rFonts w:ascii="仿宋_GB2312" w:hAnsi="仿宋_GB2312" w:eastAsia="仿宋_GB2312" w:cs="仿宋_GB2312"/>
                <w:sz w:val="24"/>
              </w:rPr>
            </w:pPr>
          </w:p>
        </w:tc>
        <w:tc>
          <w:tcPr>
            <w:tcW w:w="717"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三级</w:t>
            </w:r>
          </w:p>
        </w:tc>
        <w:tc>
          <w:tcPr>
            <w:tcW w:w="1202"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230</w:t>
            </w:r>
          </w:p>
        </w:tc>
        <w:tc>
          <w:tcPr>
            <w:tcW w:w="6666"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01" w:type="dxa"/>
            <w:vMerge w:val="restart"/>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沈所镇</w:t>
            </w:r>
          </w:p>
        </w:tc>
        <w:tc>
          <w:tcPr>
            <w:tcW w:w="717"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一级</w:t>
            </w:r>
          </w:p>
        </w:tc>
        <w:tc>
          <w:tcPr>
            <w:tcW w:w="1202"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385</w:t>
            </w:r>
          </w:p>
        </w:tc>
        <w:tc>
          <w:tcPr>
            <w:tcW w:w="6666"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沈所街北侧沿街建筑范围-沈所镇政府以西270米处-沈所街南侧60米范围内-沈所镇政府大院边界-沈所街南侧沿街建筑范围-沈所派出所东侧60米范围内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01" w:type="dxa"/>
            <w:vMerge w:val="continue"/>
            <w:vAlign w:val="center"/>
          </w:tcPr>
          <w:p>
            <w:pPr>
              <w:pStyle w:val="2"/>
              <w:ind w:firstLine="0" w:firstLineChars="0"/>
              <w:jc w:val="center"/>
              <w:rPr>
                <w:rFonts w:ascii="仿宋_GB2312" w:hAnsi="仿宋_GB2312" w:eastAsia="仿宋_GB2312" w:cs="仿宋_GB2312"/>
                <w:sz w:val="24"/>
              </w:rPr>
            </w:pPr>
          </w:p>
        </w:tc>
        <w:tc>
          <w:tcPr>
            <w:tcW w:w="717"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二级</w:t>
            </w:r>
          </w:p>
        </w:tc>
        <w:tc>
          <w:tcPr>
            <w:tcW w:w="1202"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280</w:t>
            </w:r>
          </w:p>
        </w:tc>
        <w:tc>
          <w:tcPr>
            <w:tcW w:w="6666"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除上述级别范围外，由以下线路围合而成的区域：</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沈所水北岸-麒麟圣类斯希望小学边界-沈所街南侧100米建筑边界-沈所派出所东侧120米范围内-规划路-建筑物边界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01" w:type="dxa"/>
            <w:vMerge w:val="continue"/>
            <w:vAlign w:val="center"/>
          </w:tcPr>
          <w:p>
            <w:pPr>
              <w:pStyle w:val="2"/>
              <w:ind w:firstLine="0" w:firstLineChars="0"/>
              <w:jc w:val="center"/>
              <w:rPr>
                <w:rFonts w:ascii="仿宋_GB2312" w:hAnsi="仿宋_GB2312" w:eastAsia="仿宋_GB2312" w:cs="仿宋_GB2312"/>
                <w:sz w:val="24"/>
              </w:rPr>
            </w:pPr>
          </w:p>
        </w:tc>
        <w:tc>
          <w:tcPr>
            <w:tcW w:w="717"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三级</w:t>
            </w:r>
          </w:p>
        </w:tc>
        <w:tc>
          <w:tcPr>
            <w:tcW w:w="1202"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190</w:t>
            </w:r>
          </w:p>
        </w:tc>
        <w:tc>
          <w:tcPr>
            <w:tcW w:w="6666"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01" w:type="dxa"/>
            <w:vMerge w:val="restart"/>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司前镇</w:t>
            </w:r>
          </w:p>
        </w:tc>
        <w:tc>
          <w:tcPr>
            <w:tcW w:w="717" w:type="dxa"/>
            <w:vAlign w:val="center"/>
          </w:tcPr>
          <w:p>
            <w:pPr>
              <w:pStyle w:val="2"/>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一级</w:t>
            </w:r>
          </w:p>
        </w:tc>
        <w:tc>
          <w:tcPr>
            <w:tcW w:w="1202"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255</w:t>
            </w:r>
          </w:p>
        </w:tc>
        <w:tc>
          <w:tcPr>
            <w:tcW w:w="6666"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墨江西岸-黄沙圩水西岸-规划路-司前大街西侧沿街建筑范围-G220-司前大街东侧沿街建筑范围-司前客运站西南侧240米范围内-G220东侧沿街建筑范围-司前客运站-X346南侧沿街建筑范围-司前工商所边界-X346北侧沿街建筑范围-供电局营业所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01" w:type="dxa"/>
            <w:vMerge w:val="continue"/>
            <w:vAlign w:val="center"/>
          </w:tcPr>
          <w:p>
            <w:pPr>
              <w:pStyle w:val="2"/>
              <w:ind w:firstLine="0" w:firstLineChars="0"/>
              <w:jc w:val="center"/>
              <w:rPr>
                <w:rFonts w:ascii="仿宋_GB2312" w:hAnsi="仿宋_GB2312" w:eastAsia="仿宋_GB2312" w:cs="仿宋_GB2312"/>
                <w:sz w:val="24"/>
              </w:rPr>
            </w:pPr>
          </w:p>
        </w:tc>
        <w:tc>
          <w:tcPr>
            <w:tcW w:w="717" w:type="dxa"/>
            <w:vAlign w:val="center"/>
          </w:tcPr>
          <w:p>
            <w:pPr>
              <w:pStyle w:val="2"/>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二级</w:t>
            </w:r>
          </w:p>
        </w:tc>
        <w:tc>
          <w:tcPr>
            <w:tcW w:w="1202"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185</w:t>
            </w:r>
          </w:p>
        </w:tc>
        <w:tc>
          <w:tcPr>
            <w:tcW w:w="6666"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除上述级别范围外，由以下线路围合而成的区域：</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G220-司前大街-墨江西岸-黄沙圩水西岸-刘屋排村建筑范围-司前中心南侧边界-司前小学南侧边界-建筑物边界-X346北侧建筑范围-司前镇派出所边界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01" w:type="dxa"/>
            <w:vMerge w:val="continue"/>
            <w:vAlign w:val="center"/>
          </w:tcPr>
          <w:p>
            <w:pPr>
              <w:pStyle w:val="2"/>
              <w:ind w:firstLine="0" w:firstLineChars="0"/>
              <w:jc w:val="center"/>
              <w:rPr>
                <w:rFonts w:ascii="仿宋_GB2312" w:hAnsi="仿宋_GB2312" w:eastAsia="仿宋_GB2312" w:cs="仿宋_GB2312"/>
                <w:sz w:val="24"/>
              </w:rPr>
            </w:pPr>
          </w:p>
        </w:tc>
        <w:tc>
          <w:tcPr>
            <w:tcW w:w="717" w:type="dxa"/>
            <w:vAlign w:val="center"/>
          </w:tcPr>
          <w:p>
            <w:pPr>
              <w:pStyle w:val="2"/>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三级</w:t>
            </w:r>
          </w:p>
        </w:tc>
        <w:tc>
          <w:tcPr>
            <w:tcW w:w="1202"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145</w:t>
            </w:r>
          </w:p>
        </w:tc>
        <w:tc>
          <w:tcPr>
            <w:tcW w:w="6666"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01" w:type="dxa"/>
            <w:vMerge w:val="restart"/>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隘子镇</w:t>
            </w:r>
          </w:p>
        </w:tc>
        <w:tc>
          <w:tcPr>
            <w:tcW w:w="717" w:type="dxa"/>
            <w:vAlign w:val="center"/>
          </w:tcPr>
          <w:p>
            <w:pPr>
              <w:pStyle w:val="2"/>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一级</w:t>
            </w:r>
          </w:p>
        </w:tc>
        <w:tc>
          <w:tcPr>
            <w:tcW w:w="1202"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245</w:t>
            </w:r>
          </w:p>
        </w:tc>
        <w:tc>
          <w:tcPr>
            <w:tcW w:w="6666"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隘子大街西侧沿街建筑物范围-隘子中心小学北侧边界-隘子大街东侧沿街建筑物范围-隘子镇政府大院边界-规划路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01" w:type="dxa"/>
            <w:vMerge w:val="continue"/>
            <w:vAlign w:val="center"/>
          </w:tcPr>
          <w:p>
            <w:pPr>
              <w:pStyle w:val="2"/>
              <w:ind w:firstLine="0" w:firstLineChars="0"/>
              <w:jc w:val="center"/>
              <w:rPr>
                <w:rFonts w:ascii="仿宋_GB2312" w:hAnsi="仿宋_GB2312" w:eastAsia="仿宋_GB2312" w:cs="仿宋_GB2312"/>
                <w:sz w:val="24"/>
              </w:rPr>
            </w:pPr>
          </w:p>
        </w:tc>
        <w:tc>
          <w:tcPr>
            <w:tcW w:w="717" w:type="dxa"/>
            <w:vAlign w:val="center"/>
          </w:tcPr>
          <w:p>
            <w:pPr>
              <w:pStyle w:val="2"/>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二级</w:t>
            </w:r>
          </w:p>
        </w:tc>
        <w:tc>
          <w:tcPr>
            <w:tcW w:w="1202"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185</w:t>
            </w:r>
          </w:p>
        </w:tc>
        <w:tc>
          <w:tcPr>
            <w:tcW w:w="6666"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除上述级别范围外，由以下线路围合而成的区域：</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隘子中心南侧160米处-农民街西侧沿街建筑物范围-瑶尾村建筑范围-隘子大街西侧100米范围-隆兴驾校隘子训练场边界-隘子中心小学南侧边界-建筑物边界-隘子派出所南侧50米-建筑物边界-农民街东侧沿街建筑物范围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01" w:type="dxa"/>
            <w:vMerge w:val="continue"/>
            <w:vAlign w:val="center"/>
          </w:tcPr>
          <w:p>
            <w:pPr>
              <w:pStyle w:val="2"/>
              <w:ind w:firstLine="0" w:firstLineChars="0"/>
              <w:jc w:val="center"/>
              <w:rPr>
                <w:rFonts w:ascii="仿宋_GB2312" w:hAnsi="仿宋_GB2312" w:eastAsia="仿宋_GB2312" w:cs="仿宋_GB2312"/>
                <w:sz w:val="24"/>
              </w:rPr>
            </w:pPr>
          </w:p>
        </w:tc>
        <w:tc>
          <w:tcPr>
            <w:tcW w:w="717" w:type="dxa"/>
            <w:vAlign w:val="center"/>
          </w:tcPr>
          <w:p>
            <w:pPr>
              <w:pStyle w:val="2"/>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三级</w:t>
            </w:r>
          </w:p>
        </w:tc>
        <w:tc>
          <w:tcPr>
            <w:tcW w:w="1202"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145</w:t>
            </w:r>
          </w:p>
        </w:tc>
        <w:tc>
          <w:tcPr>
            <w:tcW w:w="6666"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01" w:type="dxa"/>
            <w:vMerge w:val="restart"/>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罗坝镇</w:t>
            </w:r>
          </w:p>
        </w:tc>
        <w:tc>
          <w:tcPr>
            <w:tcW w:w="717" w:type="dxa"/>
            <w:vAlign w:val="center"/>
          </w:tcPr>
          <w:p>
            <w:pPr>
              <w:pStyle w:val="2"/>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一级</w:t>
            </w:r>
          </w:p>
        </w:tc>
        <w:tc>
          <w:tcPr>
            <w:tcW w:w="1202"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240</w:t>
            </w:r>
          </w:p>
        </w:tc>
        <w:tc>
          <w:tcPr>
            <w:tcW w:w="6666"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罗坝水西岸-罗坝中学南侧边界-罗坝中学东侧50米范围内-X346北侧沿街建筑物范围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01" w:type="dxa"/>
            <w:vMerge w:val="continue"/>
            <w:vAlign w:val="center"/>
          </w:tcPr>
          <w:p>
            <w:pPr>
              <w:pStyle w:val="2"/>
              <w:ind w:firstLine="0" w:firstLineChars="0"/>
              <w:jc w:val="center"/>
              <w:rPr>
                <w:rFonts w:ascii="仿宋_GB2312" w:hAnsi="仿宋_GB2312" w:eastAsia="仿宋_GB2312" w:cs="仿宋_GB2312"/>
                <w:sz w:val="24"/>
              </w:rPr>
            </w:pPr>
          </w:p>
        </w:tc>
        <w:tc>
          <w:tcPr>
            <w:tcW w:w="717" w:type="dxa"/>
            <w:vAlign w:val="center"/>
          </w:tcPr>
          <w:p>
            <w:pPr>
              <w:pStyle w:val="2"/>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二级</w:t>
            </w:r>
          </w:p>
        </w:tc>
        <w:tc>
          <w:tcPr>
            <w:tcW w:w="1202"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185</w:t>
            </w:r>
          </w:p>
        </w:tc>
        <w:tc>
          <w:tcPr>
            <w:tcW w:w="6666"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除上述级别范围外，由以下线路围合而成的区域：</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燎原村村委员会北侧建筑物范围-X346西侧沿街建筑物范围-Y352沿街建筑范围-罗坝水东岸-建筑物边界-贺平村南侧边界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01" w:type="dxa"/>
            <w:vMerge w:val="continue"/>
            <w:vAlign w:val="center"/>
          </w:tcPr>
          <w:p>
            <w:pPr>
              <w:pStyle w:val="2"/>
              <w:ind w:firstLine="0" w:firstLineChars="0"/>
              <w:jc w:val="center"/>
              <w:rPr>
                <w:rFonts w:ascii="仿宋_GB2312" w:hAnsi="仿宋_GB2312" w:eastAsia="仿宋_GB2312" w:cs="仿宋_GB2312"/>
                <w:sz w:val="24"/>
              </w:rPr>
            </w:pPr>
          </w:p>
        </w:tc>
        <w:tc>
          <w:tcPr>
            <w:tcW w:w="717" w:type="dxa"/>
            <w:vAlign w:val="center"/>
          </w:tcPr>
          <w:p>
            <w:pPr>
              <w:pStyle w:val="2"/>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三级</w:t>
            </w:r>
          </w:p>
        </w:tc>
        <w:tc>
          <w:tcPr>
            <w:tcW w:w="1202"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145</w:t>
            </w:r>
          </w:p>
        </w:tc>
        <w:tc>
          <w:tcPr>
            <w:tcW w:w="6666"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01" w:type="dxa"/>
            <w:vMerge w:val="restart"/>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澄江镇</w:t>
            </w:r>
          </w:p>
        </w:tc>
        <w:tc>
          <w:tcPr>
            <w:tcW w:w="717"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一级</w:t>
            </w:r>
          </w:p>
        </w:tc>
        <w:tc>
          <w:tcPr>
            <w:tcW w:w="1202"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230</w:t>
            </w:r>
          </w:p>
        </w:tc>
        <w:tc>
          <w:tcPr>
            <w:tcW w:w="6666"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澄江路-澄江路北侧沿街建筑物范围-澄江路南侧60米范围-都安水西岸-澄江镇平安文化广场边界-澄江镇政府大院边界-澄江工商所-建筑物边界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01" w:type="dxa"/>
            <w:vMerge w:val="continue"/>
            <w:vAlign w:val="center"/>
          </w:tcPr>
          <w:p>
            <w:pPr>
              <w:pStyle w:val="2"/>
              <w:ind w:firstLine="0" w:firstLineChars="0"/>
              <w:jc w:val="center"/>
              <w:rPr>
                <w:rFonts w:ascii="仿宋_GB2312" w:hAnsi="仿宋_GB2312" w:eastAsia="仿宋_GB2312" w:cs="仿宋_GB2312"/>
                <w:sz w:val="24"/>
              </w:rPr>
            </w:pPr>
          </w:p>
        </w:tc>
        <w:tc>
          <w:tcPr>
            <w:tcW w:w="717"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二级</w:t>
            </w:r>
          </w:p>
        </w:tc>
        <w:tc>
          <w:tcPr>
            <w:tcW w:w="1202"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185</w:t>
            </w:r>
          </w:p>
        </w:tc>
        <w:tc>
          <w:tcPr>
            <w:tcW w:w="6666"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除上述级别范围外，由以下线路围合而成的区域：</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澄江中心小学东北200米处-澄江中心小学70米处-澄江中心北侧50米处-腊树下村东侧建筑边界-澄江路北侧150米范围内-澄江烟厂东侧边界-山体边界-都安水西岸-建筑物边界-山体边界-建筑物边界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01" w:type="dxa"/>
            <w:vMerge w:val="continue"/>
            <w:vAlign w:val="center"/>
          </w:tcPr>
          <w:p>
            <w:pPr>
              <w:pStyle w:val="2"/>
              <w:ind w:firstLine="0" w:firstLineChars="0"/>
              <w:jc w:val="center"/>
              <w:rPr>
                <w:rFonts w:ascii="仿宋_GB2312" w:hAnsi="仿宋_GB2312" w:eastAsia="仿宋_GB2312" w:cs="仿宋_GB2312"/>
                <w:sz w:val="24"/>
              </w:rPr>
            </w:pPr>
          </w:p>
        </w:tc>
        <w:tc>
          <w:tcPr>
            <w:tcW w:w="717"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三级</w:t>
            </w:r>
          </w:p>
        </w:tc>
        <w:tc>
          <w:tcPr>
            <w:tcW w:w="1202"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145</w:t>
            </w:r>
          </w:p>
        </w:tc>
        <w:tc>
          <w:tcPr>
            <w:tcW w:w="6666"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01" w:type="dxa"/>
            <w:vMerge w:val="restart"/>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深渡水瑶族乡</w:t>
            </w:r>
          </w:p>
        </w:tc>
        <w:tc>
          <w:tcPr>
            <w:tcW w:w="717"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一级</w:t>
            </w:r>
          </w:p>
        </w:tc>
        <w:tc>
          <w:tcPr>
            <w:tcW w:w="1202"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185</w:t>
            </w:r>
          </w:p>
        </w:tc>
        <w:tc>
          <w:tcPr>
            <w:tcW w:w="6666"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规划路沿街建筑-G220南侧沿街建筑-深度水瑶族乡政府大院边界-G220北侧沿街建筑范围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701" w:type="dxa"/>
            <w:vMerge w:val="continue"/>
            <w:vAlign w:val="center"/>
          </w:tcPr>
          <w:p>
            <w:pPr>
              <w:pStyle w:val="2"/>
              <w:ind w:firstLine="0" w:firstLineChars="0"/>
              <w:jc w:val="center"/>
              <w:rPr>
                <w:rFonts w:ascii="仿宋_GB2312" w:hAnsi="仿宋_GB2312" w:eastAsia="仿宋_GB2312" w:cs="仿宋_GB2312"/>
                <w:sz w:val="24"/>
              </w:rPr>
            </w:pPr>
          </w:p>
        </w:tc>
        <w:tc>
          <w:tcPr>
            <w:tcW w:w="717"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二级</w:t>
            </w:r>
          </w:p>
        </w:tc>
        <w:tc>
          <w:tcPr>
            <w:tcW w:w="1202"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145</w:t>
            </w:r>
          </w:p>
        </w:tc>
        <w:tc>
          <w:tcPr>
            <w:tcW w:w="6666" w:type="dxa"/>
            <w:vAlign w:val="center"/>
          </w:tcPr>
          <w:p>
            <w:pPr>
              <w:pStyle w:val="2"/>
              <w:ind w:firstLine="0" w:firstLineChars="0"/>
              <w:jc w:val="left"/>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bookmarkEnd w:id="25"/>
      <w:bookmarkEnd w:id="26"/>
      <w:bookmarkEnd w:id="27"/>
    </w:tbl>
    <w:p>
      <w:pPr>
        <w:tabs>
          <w:tab w:val="left" w:pos="0"/>
        </w:tabs>
        <w:ind w:left="1134" w:firstLine="0" w:firstLineChars="0"/>
        <w:rPr>
          <w:rFonts w:ascii="仿宋_GB2312" w:hAnsi="仿宋_GB2312" w:eastAsia="仿宋_GB2312" w:cs="仿宋_GB2312"/>
          <w:sz w:val="32"/>
          <w:szCs w:val="32"/>
        </w:rPr>
      </w:pPr>
    </w:p>
    <w:p>
      <w:pPr>
        <w:pStyle w:val="2"/>
      </w:pP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乡镇2022年工业用地基准地价级别范围</w:t>
      </w:r>
    </w:p>
    <w:tbl>
      <w:tblPr>
        <w:tblStyle w:val="4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717"/>
        <w:gridCol w:w="1200"/>
        <w:gridCol w:w="6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trPr>
        <w:tc>
          <w:tcPr>
            <w:tcW w:w="9286" w:type="dxa"/>
            <w:gridSpan w:val="4"/>
            <w:tcBorders>
              <w:top w:val="nil"/>
              <w:left w:val="nil"/>
              <w:bottom w:val="single" w:color="auto" w:sz="4" w:space="0"/>
              <w:right w:val="nil"/>
            </w:tcBorders>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pacing w:val="-1"/>
                <w:sz w:val="24"/>
              </w:rPr>
              <w:t>(以下级别范围描述仅供参考，具体级</w:t>
            </w:r>
            <w:r>
              <w:rPr>
                <w:rFonts w:hint="eastAsia" w:ascii="仿宋_GB2312" w:hAnsi="仿宋_GB2312" w:eastAsia="仿宋_GB2312" w:cs="仿宋_GB2312"/>
                <w:sz w:val="24"/>
              </w:rPr>
              <w:t>别范围以基准地价级别图为准)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702" w:type="dxa"/>
            <w:tcBorders>
              <w:top w:val="single" w:color="auto" w:sz="4" w:space="0"/>
            </w:tcBorders>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镇名</w:t>
            </w:r>
          </w:p>
        </w:tc>
        <w:tc>
          <w:tcPr>
            <w:tcW w:w="717" w:type="dxa"/>
            <w:tcBorders>
              <w:top w:val="single" w:color="auto" w:sz="4" w:space="0"/>
            </w:tcBorders>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级别</w:t>
            </w:r>
          </w:p>
        </w:tc>
        <w:tc>
          <w:tcPr>
            <w:tcW w:w="1200" w:type="dxa"/>
            <w:tcBorders>
              <w:top w:val="single" w:color="auto" w:sz="4" w:space="0"/>
            </w:tcBorders>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级别价（元/㎡）</w:t>
            </w:r>
          </w:p>
        </w:tc>
        <w:tc>
          <w:tcPr>
            <w:tcW w:w="6667" w:type="dxa"/>
            <w:tcBorders>
              <w:top w:val="single" w:color="auto" w:sz="4" w:space="0"/>
            </w:tcBorders>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2" w:type="dxa"/>
            <w:vMerge w:val="restart"/>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马市镇</w:t>
            </w:r>
          </w:p>
        </w:tc>
        <w:tc>
          <w:tcPr>
            <w:tcW w:w="717"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一级</w:t>
            </w:r>
          </w:p>
        </w:tc>
        <w:tc>
          <w:tcPr>
            <w:tcW w:w="1200"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365</w:t>
            </w:r>
          </w:p>
        </w:tc>
        <w:tc>
          <w:tcPr>
            <w:tcW w:w="6667"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影前街-规划路-G323-新马路以东50米范围-新马路以东10米范围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2" w:type="dxa"/>
            <w:vMerge w:val="continue"/>
            <w:vAlign w:val="center"/>
          </w:tcPr>
          <w:p>
            <w:pPr>
              <w:pStyle w:val="2"/>
              <w:ind w:firstLine="0" w:firstLineChars="0"/>
              <w:jc w:val="center"/>
              <w:rPr>
                <w:rFonts w:ascii="仿宋_GB2312" w:hAnsi="仿宋_GB2312" w:eastAsia="仿宋_GB2312" w:cs="仿宋_GB2312"/>
                <w:sz w:val="24"/>
              </w:rPr>
            </w:pPr>
          </w:p>
        </w:tc>
        <w:tc>
          <w:tcPr>
            <w:tcW w:w="717"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二级</w:t>
            </w:r>
          </w:p>
        </w:tc>
        <w:tc>
          <w:tcPr>
            <w:tcW w:w="1200"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253</w:t>
            </w:r>
          </w:p>
        </w:tc>
        <w:tc>
          <w:tcPr>
            <w:tcW w:w="6667"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除上述级别范围外，由以下线路围合而成的区域：</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浈江南岸-马市中学西侧边界-马市中心小学西侧边界-建筑边界-马市镇卫生院西侧150米处-马市镇卫生院北侧边界-G323东南侧200米范围-G323东南侧120米范围-G323东南侧240米范围-马市人民法院东侧270米范围-G323北侧60米范围-马市人民法院北侧120米范围-建筑物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2" w:type="dxa"/>
            <w:vMerge w:val="continue"/>
            <w:vAlign w:val="center"/>
          </w:tcPr>
          <w:p>
            <w:pPr>
              <w:pStyle w:val="2"/>
              <w:ind w:firstLine="0" w:firstLineChars="0"/>
              <w:jc w:val="center"/>
              <w:rPr>
                <w:rFonts w:ascii="仿宋_GB2312" w:hAnsi="仿宋_GB2312" w:eastAsia="仿宋_GB2312" w:cs="仿宋_GB2312"/>
                <w:sz w:val="24"/>
              </w:rPr>
            </w:pPr>
          </w:p>
        </w:tc>
        <w:tc>
          <w:tcPr>
            <w:tcW w:w="717"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三级</w:t>
            </w:r>
          </w:p>
        </w:tc>
        <w:tc>
          <w:tcPr>
            <w:tcW w:w="1200"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180</w:t>
            </w:r>
          </w:p>
        </w:tc>
        <w:tc>
          <w:tcPr>
            <w:tcW w:w="6667"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2" w:type="dxa"/>
            <w:vMerge w:val="restart"/>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顿岗镇</w:t>
            </w:r>
          </w:p>
        </w:tc>
        <w:tc>
          <w:tcPr>
            <w:tcW w:w="717"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一级</w:t>
            </w:r>
          </w:p>
        </w:tc>
        <w:tc>
          <w:tcPr>
            <w:tcW w:w="1200"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360</w:t>
            </w:r>
          </w:p>
        </w:tc>
        <w:tc>
          <w:tcPr>
            <w:tcW w:w="6667"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顿岗镇政府北侧河岸-G220东侧建筑物边界-顿岗镇政府西南侧250米处-顿岗人民法院东侧边界-X346-顿岗人民法院东侧100米处-顿岗人民法院东侧110米处-顿岗人民法院东侧180米处-顿岗镇政府东侧400米建筑部边界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2" w:type="dxa"/>
            <w:vMerge w:val="continue"/>
            <w:vAlign w:val="center"/>
          </w:tcPr>
          <w:p>
            <w:pPr>
              <w:pStyle w:val="2"/>
              <w:ind w:firstLine="0" w:firstLineChars="0"/>
              <w:jc w:val="center"/>
              <w:rPr>
                <w:rFonts w:ascii="仿宋_GB2312" w:hAnsi="仿宋_GB2312" w:eastAsia="仿宋_GB2312" w:cs="仿宋_GB2312"/>
                <w:sz w:val="24"/>
              </w:rPr>
            </w:pPr>
          </w:p>
        </w:tc>
        <w:tc>
          <w:tcPr>
            <w:tcW w:w="717"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二级</w:t>
            </w:r>
          </w:p>
        </w:tc>
        <w:tc>
          <w:tcPr>
            <w:tcW w:w="1200"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253</w:t>
            </w:r>
          </w:p>
        </w:tc>
        <w:tc>
          <w:tcPr>
            <w:tcW w:w="6667"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除上述级别范围外，由以下线路围合而成的区域：</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围下村村委会以北150米范围-围下村北侧建筑边界-顿岗客运站-G220-顿岗派出所南侧200米处路口-顿岗中心小学边界-下门村东侧边界-顿岗镇北侧河流的南岸-建筑物边界线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2" w:type="dxa"/>
            <w:vMerge w:val="continue"/>
            <w:vAlign w:val="center"/>
          </w:tcPr>
          <w:p>
            <w:pPr>
              <w:pStyle w:val="2"/>
              <w:ind w:firstLine="0" w:firstLineChars="0"/>
              <w:jc w:val="center"/>
              <w:rPr>
                <w:rFonts w:ascii="仿宋_GB2312" w:hAnsi="仿宋_GB2312" w:eastAsia="仿宋_GB2312" w:cs="仿宋_GB2312"/>
                <w:sz w:val="24"/>
              </w:rPr>
            </w:pPr>
          </w:p>
        </w:tc>
        <w:tc>
          <w:tcPr>
            <w:tcW w:w="717"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三级</w:t>
            </w:r>
          </w:p>
        </w:tc>
        <w:tc>
          <w:tcPr>
            <w:tcW w:w="1200"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180</w:t>
            </w:r>
          </w:p>
        </w:tc>
        <w:tc>
          <w:tcPr>
            <w:tcW w:w="6667"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2" w:type="dxa"/>
            <w:vMerge w:val="restart"/>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沈所镇</w:t>
            </w:r>
          </w:p>
        </w:tc>
        <w:tc>
          <w:tcPr>
            <w:tcW w:w="717"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一级</w:t>
            </w:r>
          </w:p>
        </w:tc>
        <w:tc>
          <w:tcPr>
            <w:tcW w:w="1200"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295</w:t>
            </w:r>
          </w:p>
        </w:tc>
        <w:tc>
          <w:tcPr>
            <w:tcW w:w="6667"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沈所街北侧沿街建筑范围-沈所镇政府以西270米处-沈所街南侧60米范围内-沈所镇政府大院边界-沈所街南侧沿街建筑范围-沈所派出所东侧60米范围内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2" w:type="dxa"/>
            <w:vMerge w:val="continue"/>
            <w:vAlign w:val="center"/>
          </w:tcPr>
          <w:p>
            <w:pPr>
              <w:pStyle w:val="2"/>
              <w:ind w:firstLine="0" w:firstLineChars="0"/>
              <w:jc w:val="center"/>
              <w:rPr>
                <w:rFonts w:ascii="仿宋_GB2312" w:hAnsi="仿宋_GB2312" w:eastAsia="仿宋_GB2312" w:cs="仿宋_GB2312"/>
                <w:sz w:val="24"/>
              </w:rPr>
            </w:pPr>
          </w:p>
        </w:tc>
        <w:tc>
          <w:tcPr>
            <w:tcW w:w="717"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二级</w:t>
            </w:r>
          </w:p>
        </w:tc>
        <w:tc>
          <w:tcPr>
            <w:tcW w:w="1200"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245</w:t>
            </w:r>
          </w:p>
        </w:tc>
        <w:tc>
          <w:tcPr>
            <w:tcW w:w="6667"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除上述级别范围外，由以下线路围合而成的区域：</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沈所水北岸-麒麟圣类斯希望小学边界-沈所街南侧100米建筑边界-沈所派出所东侧120米范围内-规划路-建筑物边界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2" w:type="dxa"/>
            <w:vMerge w:val="continue"/>
            <w:vAlign w:val="center"/>
          </w:tcPr>
          <w:p>
            <w:pPr>
              <w:pStyle w:val="2"/>
              <w:ind w:firstLine="0" w:firstLineChars="0"/>
              <w:jc w:val="center"/>
              <w:rPr>
                <w:rFonts w:ascii="仿宋_GB2312" w:hAnsi="仿宋_GB2312" w:eastAsia="仿宋_GB2312" w:cs="仿宋_GB2312"/>
                <w:sz w:val="24"/>
              </w:rPr>
            </w:pPr>
          </w:p>
        </w:tc>
        <w:tc>
          <w:tcPr>
            <w:tcW w:w="717"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三级</w:t>
            </w:r>
          </w:p>
        </w:tc>
        <w:tc>
          <w:tcPr>
            <w:tcW w:w="1200"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180</w:t>
            </w:r>
          </w:p>
        </w:tc>
        <w:tc>
          <w:tcPr>
            <w:tcW w:w="6667"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2" w:type="dxa"/>
            <w:vMerge w:val="restart"/>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司前镇</w:t>
            </w:r>
          </w:p>
        </w:tc>
        <w:tc>
          <w:tcPr>
            <w:tcW w:w="717" w:type="dxa"/>
            <w:vAlign w:val="center"/>
          </w:tcPr>
          <w:p>
            <w:pPr>
              <w:pStyle w:val="2"/>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一级</w:t>
            </w:r>
          </w:p>
        </w:tc>
        <w:tc>
          <w:tcPr>
            <w:tcW w:w="1200"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195</w:t>
            </w:r>
          </w:p>
        </w:tc>
        <w:tc>
          <w:tcPr>
            <w:tcW w:w="6667"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墨江西岸-黄沙圩水西岸-规划路-司前大街西侧沿街建筑范围-G220-司前大街东侧沿街建筑范围-司前客运站西南侧240米范围内-G220东侧沿街建筑范围-司前客运站-X346南侧沿街建筑范围-司前工商所边界-X346北侧沿街建筑范围-供电局营业所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2" w:type="dxa"/>
            <w:vMerge w:val="continue"/>
            <w:vAlign w:val="center"/>
          </w:tcPr>
          <w:p>
            <w:pPr>
              <w:pStyle w:val="2"/>
              <w:ind w:firstLine="0" w:firstLineChars="0"/>
              <w:rPr>
                <w:rFonts w:ascii="仿宋_GB2312" w:hAnsi="仿宋_GB2312" w:eastAsia="仿宋_GB2312" w:cs="仿宋_GB2312"/>
                <w:sz w:val="24"/>
              </w:rPr>
            </w:pPr>
          </w:p>
        </w:tc>
        <w:tc>
          <w:tcPr>
            <w:tcW w:w="717" w:type="dxa"/>
            <w:vAlign w:val="center"/>
          </w:tcPr>
          <w:p>
            <w:pPr>
              <w:pStyle w:val="2"/>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二级</w:t>
            </w:r>
          </w:p>
        </w:tc>
        <w:tc>
          <w:tcPr>
            <w:tcW w:w="1200"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155</w:t>
            </w:r>
          </w:p>
        </w:tc>
        <w:tc>
          <w:tcPr>
            <w:tcW w:w="6667"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除上述级别范围外，由以下线路围合而成的区域：</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G220-司前大街-墨江西岸-黄沙圩水西岸-刘屋排村建筑范围-司前中心南侧边界-司前小学南侧边界-建筑物边界-X346北侧建筑范围-司前镇派出所边界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2" w:type="dxa"/>
            <w:vMerge w:val="continue"/>
            <w:vAlign w:val="center"/>
          </w:tcPr>
          <w:p>
            <w:pPr>
              <w:pStyle w:val="2"/>
              <w:ind w:firstLine="0" w:firstLineChars="0"/>
              <w:rPr>
                <w:rFonts w:ascii="仿宋_GB2312" w:hAnsi="仿宋_GB2312" w:eastAsia="仿宋_GB2312" w:cs="仿宋_GB2312"/>
                <w:sz w:val="24"/>
              </w:rPr>
            </w:pPr>
          </w:p>
        </w:tc>
        <w:tc>
          <w:tcPr>
            <w:tcW w:w="717" w:type="dxa"/>
            <w:vAlign w:val="center"/>
          </w:tcPr>
          <w:p>
            <w:pPr>
              <w:pStyle w:val="2"/>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三级</w:t>
            </w:r>
          </w:p>
        </w:tc>
        <w:tc>
          <w:tcPr>
            <w:tcW w:w="1200"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140</w:t>
            </w:r>
          </w:p>
        </w:tc>
        <w:tc>
          <w:tcPr>
            <w:tcW w:w="6667"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2" w:type="dxa"/>
            <w:vMerge w:val="restart"/>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隘子镇</w:t>
            </w:r>
          </w:p>
        </w:tc>
        <w:tc>
          <w:tcPr>
            <w:tcW w:w="717" w:type="dxa"/>
            <w:vAlign w:val="center"/>
          </w:tcPr>
          <w:p>
            <w:pPr>
              <w:pStyle w:val="2"/>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一级</w:t>
            </w:r>
          </w:p>
        </w:tc>
        <w:tc>
          <w:tcPr>
            <w:tcW w:w="1200"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185</w:t>
            </w:r>
          </w:p>
        </w:tc>
        <w:tc>
          <w:tcPr>
            <w:tcW w:w="6667"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隘子大街西侧沿街建筑物范围-隘子中心小学北侧边界-隘子大街东侧沿街建筑物范围-隘子镇政府大院边界-规划路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2" w:type="dxa"/>
            <w:vMerge w:val="continue"/>
            <w:vAlign w:val="center"/>
          </w:tcPr>
          <w:p>
            <w:pPr>
              <w:pStyle w:val="2"/>
              <w:ind w:firstLine="0" w:firstLineChars="0"/>
              <w:rPr>
                <w:rFonts w:ascii="仿宋_GB2312" w:hAnsi="仿宋_GB2312" w:eastAsia="仿宋_GB2312" w:cs="仿宋_GB2312"/>
                <w:sz w:val="24"/>
              </w:rPr>
            </w:pPr>
          </w:p>
        </w:tc>
        <w:tc>
          <w:tcPr>
            <w:tcW w:w="717" w:type="dxa"/>
            <w:vAlign w:val="center"/>
          </w:tcPr>
          <w:p>
            <w:pPr>
              <w:pStyle w:val="2"/>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二级</w:t>
            </w:r>
          </w:p>
        </w:tc>
        <w:tc>
          <w:tcPr>
            <w:tcW w:w="1200"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155</w:t>
            </w:r>
          </w:p>
        </w:tc>
        <w:tc>
          <w:tcPr>
            <w:tcW w:w="6667"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除上述级别范围外，由以下线路围合而成的区域：</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隘子中心南侧160米处-农民街西侧沿街建筑物范围-瑶尾村建筑范围-隘子大街西侧100米范围-隆兴驾校隘子训练场边界-隘子中心小学南侧边界-建筑物边界-隘子派出所南侧50米-建筑物边界-农民街东侧沿街建筑物范围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2" w:type="dxa"/>
            <w:vMerge w:val="continue"/>
            <w:vAlign w:val="center"/>
          </w:tcPr>
          <w:p>
            <w:pPr>
              <w:pStyle w:val="2"/>
              <w:ind w:firstLine="0" w:firstLineChars="0"/>
              <w:rPr>
                <w:rFonts w:ascii="仿宋_GB2312" w:hAnsi="仿宋_GB2312" w:eastAsia="仿宋_GB2312" w:cs="仿宋_GB2312"/>
                <w:sz w:val="24"/>
              </w:rPr>
            </w:pPr>
          </w:p>
        </w:tc>
        <w:tc>
          <w:tcPr>
            <w:tcW w:w="717" w:type="dxa"/>
            <w:vAlign w:val="center"/>
          </w:tcPr>
          <w:p>
            <w:pPr>
              <w:pStyle w:val="2"/>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三级</w:t>
            </w:r>
          </w:p>
        </w:tc>
        <w:tc>
          <w:tcPr>
            <w:tcW w:w="1200"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140</w:t>
            </w:r>
          </w:p>
        </w:tc>
        <w:tc>
          <w:tcPr>
            <w:tcW w:w="6667"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2" w:type="dxa"/>
            <w:vMerge w:val="restart"/>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罗坝镇</w:t>
            </w:r>
          </w:p>
        </w:tc>
        <w:tc>
          <w:tcPr>
            <w:tcW w:w="717" w:type="dxa"/>
            <w:vAlign w:val="center"/>
          </w:tcPr>
          <w:p>
            <w:pPr>
              <w:pStyle w:val="2"/>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一级</w:t>
            </w:r>
          </w:p>
        </w:tc>
        <w:tc>
          <w:tcPr>
            <w:tcW w:w="1200"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185</w:t>
            </w:r>
          </w:p>
        </w:tc>
        <w:tc>
          <w:tcPr>
            <w:tcW w:w="6667"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罗坝水西岸-罗坝中学南侧边界-罗坝中学东侧50米范围内-X346北侧沿街建筑物范围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2" w:type="dxa"/>
            <w:vMerge w:val="continue"/>
            <w:vAlign w:val="center"/>
          </w:tcPr>
          <w:p>
            <w:pPr>
              <w:pStyle w:val="2"/>
              <w:ind w:firstLine="0" w:firstLineChars="0"/>
              <w:rPr>
                <w:rFonts w:ascii="仿宋_GB2312" w:hAnsi="仿宋_GB2312" w:eastAsia="仿宋_GB2312" w:cs="仿宋_GB2312"/>
                <w:sz w:val="24"/>
              </w:rPr>
            </w:pPr>
          </w:p>
        </w:tc>
        <w:tc>
          <w:tcPr>
            <w:tcW w:w="717" w:type="dxa"/>
            <w:vAlign w:val="center"/>
          </w:tcPr>
          <w:p>
            <w:pPr>
              <w:pStyle w:val="2"/>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二级</w:t>
            </w:r>
          </w:p>
        </w:tc>
        <w:tc>
          <w:tcPr>
            <w:tcW w:w="1200"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155</w:t>
            </w:r>
          </w:p>
        </w:tc>
        <w:tc>
          <w:tcPr>
            <w:tcW w:w="6667"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除上述级别范围外，由以下线路围合而成的区域：</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燎原村村委员会北侧建筑物范围-X346西侧沿街建筑物范围-Y352沿街建筑范围-罗坝水东岸-建筑物边界-贺平村南侧边界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2" w:type="dxa"/>
            <w:vMerge w:val="continue"/>
            <w:vAlign w:val="center"/>
          </w:tcPr>
          <w:p>
            <w:pPr>
              <w:pStyle w:val="2"/>
              <w:ind w:firstLine="0" w:firstLineChars="0"/>
              <w:rPr>
                <w:rFonts w:ascii="仿宋_GB2312" w:hAnsi="仿宋_GB2312" w:eastAsia="仿宋_GB2312" w:cs="仿宋_GB2312"/>
                <w:sz w:val="24"/>
              </w:rPr>
            </w:pPr>
          </w:p>
        </w:tc>
        <w:tc>
          <w:tcPr>
            <w:tcW w:w="717" w:type="dxa"/>
            <w:vAlign w:val="center"/>
          </w:tcPr>
          <w:p>
            <w:pPr>
              <w:pStyle w:val="2"/>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三级</w:t>
            </w:r>
          </w:p>
        </w:tc>
        <w:tc>
          <w:tcPr>
            <w:tcW w:w="1200"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140</w:t>
            </w:r>
          </w:p>
        </w:tc>
        <w:tc>
          <w:tcPr>
            <w:tcW w:w="6667"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2" w:type="dxa"/>
            <w:vMerge w:val="restart"/>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澄江镇</w:t>
            </w:r>
          </w:p>
        </w:tc>
        <w:tc>
          <w:tcPr>
            <w:tcW w:w="717"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一级</w:t>
            </w:r>
          </w:p>
        </w:tc>
        <w:tc>
          <w:tcPr>
            <w:tcW w:w="1200"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185</w:t>
            </w:r>
          </w:p>
        </w:tc>
        <w:tc>
          <w:tcPr>
            <w:tcW w:w="6667"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澄江路-澄江路北侧沿街建筑物范围-澄江路南侧60米范围-都安水西岸-澄江镇平安文化广场边界-澄江镇政府大院边界-澄江工商所-建筑物边界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2" w:type="dxa"/>
            <w:vMerge w:val="continue"/>
            <w:vAlign w:val="center"/>
          </w:tcPr>
          <w:p>
            <w:pPr>
              <w:pStyle w:val="2"/>
              <w:ind w:firstLine="0" w:firstLineChars="0"/>
              <w:rPr>
                <w:rFonts w:ascii="仿宋_GB2312" w:hAnsi="仿宋_GB2312" w:eastAsia="仿宋_GB2312" w:cs="仿宋_GB2312"/>
                <w:sz w:val="24"/>
              </w:rPr>
            </w:pPr>
          </w:p>
        </w:tc>
        <w:tc>
          <w:tcPr>
            <w:tcW w:w="717"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二级</w:t>
            </w:r>
          </w:p>
        </w:tc>
        <w:tc>
          <w:tcPr>
            <w:tcW w:w="1200"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155</w:t>
            </w:r>
          </w:p>
        </w:tc>
        <w:tc>
          <w:tcPr>
            <w:tcW w:w="6667"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除上述级别范围外，由以下线路围合而成的区域：</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澄江中心小学东北200米处-澄江中心小学70米处-澄江中心北侧50米处-腊树下村东侧建筑边界-澄江路北侧150米范围内-澄江烟厂东侧边界-山体边界-都安水西岸-建筑物边界-山体边界-建筑物边界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2" w:type="dxa"/>
            <w:vMerge w:val="continue"/>
            <w:vAlign w:val="center"/>
          </w:tcPr>
          <w:p>
            <w:pPr>
              <w:pStyle w:val="2"/>
              <w:ind w:firstLine="0" w:firstLineChars="0"/>
              <w:rPr>
                <w:rFonts w:ascii="仿宋_GB2312" w:hAnsi="仿宋_GB2312" w:eastAsia="仿宋_GB2312" w:cs="仿宋_GB2312"/>
                <w:sz w:val="24"/>
              </w:rPr>
            </w:pPr>
          </w:p>
        </w:tc>
        <w:tc>
          <w:tcPr>
            <w:tcW w:w="717"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三级</w:t>
            </w:r>
          </w:p>
        </w:tc>
        <w:tc>
          <w:tcPr>
            <w:tcW w:w="1200"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140</w:t>
            </w:r>
          </w:p>
        </w:tc>
        <w:tc>
          <w:tcPr>
            <w:tcW w:w="6667"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2" w:type="dxa"/>
            <w:vMerge w:val="restart"/>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深渡水瑶族乡</w:t>
            </w:r>
          </w:p>
        </w:tc>
        <w:tc>
          <w:tcPr>
            <w:tcW w:w="717"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一级</w:t>
            </w:r>
          </w:p>
        </w:tc>
        <w:tc>
          <w:tcPr>
            <w:tcW w:w="1200"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165</w:t>
            </w:r>
          </w:p>
        </w:tc>
        <w:tc>
          <w:tcPr>
            <w:tcW w:w="6667"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规划路沿街建筑-G220南侧沿街建筑-深度水瑶族乡政府大院边界-G220北侧沿街建筑范围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2" w:type="dxa"/>
            <w:vMerge w:val="continue"/>
            <w:vAlign w:val="center"/>
          </w:tcPr>
          <w:p>
            <w:pPr>
              <w:pStyle w:val="2"/>
              <w:ind w:firstLine="0" w:firstLineChars="0"/>
              <w:rPr>
                <w:rFonts w:ascii="仿宋_GB2312" w:hAnsi="仿宋_GB2312" w:eastAsia="仿宋_GB2312" w:cs="仿宋_GB2312"/>
                <w:sz w:val="24"/>
              </w:rPr>
            </w:pPr>
          </w:p>
        </w:tc>
        <w:tc>
          <w:tcPr>
            <w:tcW w:w="717"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二级</w:t>
            </w:r>
          </w:p>
        </w:tc>
        <w:tc>
          <w:tcPr>
            <w:tcW w:w="1200"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145</w:t>
            </w:r>
          </w:p>
        </w:tc>
        <w:tc>
          <w:tcPr>
            <w:tcW w:w="6667"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bl>
    <w:p>
      <w:pPr>
        <w:tabs>
          <w:tab w:val="left" w:pos="0"/>
        </w:tabs>
        <w:ind w:left="1134" w:firstLine="0" w:firstLineChars="0"/>
        <w:rPr>
          <w:rFonts w:ascii="仿宋_GB2312" w:hAnsi="仿宋_GB2312" w:eastAsia="仿宋_GB2312" w:cs="仿宋_GB2312"/>
          <w:sz w:val="32"/>
          <w:szCs w:val="32"/>
        </w:rPr>
      </w:pP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乡镇2022年公共服务用地基准地价级别范围</w:t>
      </w:r>
    </w:p>
    <w:tbl>
      <w:tblPr>
        <w:tblStyle w:val="4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1"/>
        <w:gridCol w:w="733"/>
        <w:gridCol w:w="1182"/>
        <w:gridCol w:w="6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blHeader/>
        </w:trPr>
        <w:tc>
          <w:tcPr>
            <w:tcW w:w="9286" w:type="dxa"/>
            <w:gridSpan w:val="4"/>
            <w:tcBorders>
              <w:top w:val="nil"/>
              <w:left w:val="nil"/>
              <w:bottom w:val="single" w:color="auto" w:sz="4" w:space="0"/>
              <w:right w:val="nil"/>
            </w:tcBorders>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pacing w:val="-1"/>
                <w:sz w:val="24"/>
              </w:rPr>
              <w:t>(以下级别范围描述仅供参考，具体级</w:t>
            </w:r>
            <w:r>
              <w:rPr>
                <w:rFonts w:hint="eastAsia" w:ascii="仿宋_GB2312" w:hAnsi="仿宋_GB2312" w:eastAsia="仿宋_GB2312" w:cs="仿宋_GB2312"/>
                <w:sz w:val="24"/>
              </w:rPr>
              <w:t>别范围以基准地价级别图为准)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blHeader/>
        </w:trPr>
        <w:tc>
          <w:tcPr>
            <w:tcW w:w="701" w:type="dxa"/>
            <w:tcBorders>
              <w:top w:val="single" w:color="auto" w:sz="4" w:space="0"/>
            </w:tcBorders>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镇名</w:t>
            </w:r>
          </w:p>
        </w:tc>
        <w:tc>
          <w:tcPr>
            <w:tcW w:w="733" w:type="dxa"/>
            <w:tcBorders>
              <w:top w:val="single" w:color="auto" w:sz="4" w:space="0"/>
            </w:tcBorders>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级别</w:t>
            </w:r>
          </w:p>
        </w:tc>
        <w:tc>
          <w:tcPr>
            <w:tcW w:w="1182" w:type="dxa"/>
            <w:tcBorders>
              <w:top w:val="single" w:color="auto" w:sz="4" w:space="0"/>
            </w:tcBorders>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级别价</w:t>
            </w:r>
          </w:p>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（元/㎡）</w:t>
            </w:r>
          </w:p>
        </w:tc>
        <w:tc>
          <w:tcPr>
            <w:tcW w:w="6670" w:type="dxa"/>
            <w:tcBorders>
              <w:top w:val="single" w:color="auto" w:sz="4" w:space="0"/>
            </w:tcBorders>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rPr>
        <w:tc>
          <w:tcPr>
            <w:tcW w:w="701" w:type="dxa"/>
            <w:vMerge w:val="restart"/>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马市镇</w:t>
            </w:r>
          </w:p>
        </w:tc>
        <w:tc>
          <w:tcPr>
            <w:tcW w:w="733"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一级</w:t>
            </w:r>
          </w:p>
        </w:tc>
        <w:tc>
          <w:tcPr>
            <w:tcW w:w="1182"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319</w:t>
            </w:r>
          </w:p>
        </w:tc>
        <w:tc>
          <w:tcPr>
            <w:tcW w:w="6670"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浈江南岸-马市中学西侧边界-马市中心小学西侧边界-建筑边界-马市镇卫生院西侧150米处-马市镇卫生院北侧边界-G323东南侧200米范围-G323东南侧120米范围-G323东南侧240米范围-马市人民法院东侧270米范围-G323北侧60米范围-马市人民法院北侧120米范围-建筑物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rPr>
        <w:tc>
          <w:tcPr>
            <w:tcW w:w="701" w:type="dxa"/>
            <w:vMerge w:val="continue"/>
            <w:vAlign w:val="center"/>
          </w:tcPr>
          <w:p>
            <w:pPr>
              <w:pStyle w:val="2"/>
              <w:ind w:firstLine="0" w:firstLineChars="0"/>
              <w:jc w:val="center"/>
              <w:rPr>
                <w:rFonts w:ascii="仿宋_GB2312" w:hAnsi="仿宋_GB2312" w:eastAsia="仿宋_GB2312" w:cs="仿宋_GB2312"/>
                <w:sz w:val="24"/>
              </w:rPr>
            </w:pPr>
          </w:p>
        </w:tc>
        <w:tc>
          <w:tcPr>
            <w:tcW w:w="733"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二级</w:t>
            </w:r>
          </w:p>
        </w:tc>
        <w:tc>
          <w:tcPr>
            <w:tcW w:w="1182"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218</w:t>
            </w:r>
          </w:p>
        </w:tc>
        <w:tc>
          <w:tcPr>
            <w:tcW w:w="6670"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rPr>
        <w:tc>
          <w:tcPr>
            <w:tcW w:w="701" w:type="dxa"/>
            <w:vMerge w:val="restart"/>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顿岗镇</w:t>
            </w:r>
          </w:p>
        </w:tc>
        <w:tc>
          <w:tcPr>
            <w:tcW w:w="733"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一级</w:t>
            </w:r>
          </w:p>
        </w:tc>
        <w:tc>
          <w:tcPr>
            <w:tcW w:w="1182"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304</w:t>
            </w:r>
          </w:p>
        </w:tc>
        <w:tc>
          <w:tcPr>
            <w:tcW w:w="6670"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围下村村委会以北150米范围-围下村北侧建筑边界-顿岗客运站-G220-顿岗派出所南侧200米处路口-顿岗中心小学边界-下门村东侧边界-罗坝水南岸-建筑物边界线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rPr>
        <w:tc>
          <w:tcPr>
            <w:tcW w:w="701" w:type="dxa"/>
            <w:vMerge w:val="continue"/>
            <w:vAlign w:val="center"/>
          </w:tcPr>
          <w:p>
            <w:pPr>
              <w:pStyle w:val="2"/>
              <w:ind w:firstLine="0" w:firstLineChars="0"/>
              <w:jc w:val="center"/>
              <w:rPr>
                <w:rFonts w:ascii="仿宋_GB2312" w:hAnsi="仿宋_GB2312" w:eastAsia="仿宋_GB2312" w:cs="仿宋_GB2312"/>
                <w:sz w:val="24"/>
              </w:rPr>
            </w:pPr>
          </w:p>
        </w:tc>
        <w:tc>
          <w:tcPr>
            <w:tcW w:w="733"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二级</w:t>
            </w:r>
          </w:p>
        </w:tc>
        <w:tc>
          <w:tcPr>
            <w:tcW w:w="1182"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216</w:t>
            </w:r>
          </w:p>
        </w:tc>
        <w:tc>
          <w:tcPr>
            <w:tcW w:w="6670"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rPr>
        <w:tc>
          <w:tcPr>
            <w:tcW w:w="701" w:type="dxa"/>
            <w:vMerge w:val="restart"/>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沈所镇</w:t>
            </w:r>
          </w:p>
        </w:tc>
        <w:tc>
          <w:tcPr>
            <w:tcW w:w="733"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一级</w:t>
            </w:r>
          </w:p>
        </w:tc>
        <w:tc>
          <w:tcPr>
            <w:tcW w:w="1182"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282</w:t>
            </w:r>
          </w:p>
        </w:tc>
        <w:tc>
          <w:tcPr>
            <w:tcW w:w="6670"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沈所水北岸-麒麟圣类斯希望小学边界-沈所街南侧100米建筑边界-沈所派出所东侧120米范围内-规划路-建筑物边界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rPr>
        <w:tc>
          <w:tcPr>
            <w:tcW w:w="701" w:type="dxa"/>
            <w:vMerge w:val="continue"/>
            <w:vAlign w:val="center"/>
          </w:tcPr>
          <w:p>
            <w:pPr>
              <w:pStyle w:val="2"/>
              <w:ind w:firstLine="0" w:firstLineChars="0"/>
              <w:jc w:val="center"/>
              <w:rPr>
                <w:rFonts w:ascii="仿宋_GB2312" w:hAnsi="仿宋_GB2312" w:eastAsia="仿宋_GB2312" w:cs="仿宋_GB2312"/>
                <w:sz w:val="24"/>
              </w:rPr>
            </w:pPr>
          </w:p>
        </w:tc>
        <w:tc>
          <w:tcPr>
            <w:tcW w:w="733"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二级</w:t>
            </w:r>
          </w:p>
        </w:tc>
        <w:tc>
          <w:tcPr>
            <w:tcW w:w="1182"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214</w:t>
            </w:r>
          </w:p>
        </w:tc>
        <w:tc>
          <w:tcPr>
            <w:tcW w:w="6670"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rPr>
        <w:tc>
          <w:tcPr>
            <w:tcW w:w="701" w:type="dxa"/>
            <w:vMerge w:val="restart"/>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司前镇</w:t>
            </w:r>
          </w:p>
        </w:tc>
        <w:tc>
          <w:tcPr>
            <w:tcW w:w="733"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一级</w:t>
            </w:r>
          </w:p>
        </w:tc>
        <w:tc>
          <w:tcPr>
            <w:tcW w:w="1182"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230</w:t>
            </w:r>
          </w:p>
        </w:tc>
        <w:tc>
          <w:tcPr>
            <w:tcW w:w="6670"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G220-司前大街-司前镇卫生院边界-墨江西岸-黄沙圩水西岸-刘屋排村建筑范围-司前中心南侧边界-司前小学南侧边界-建筑物边界-X346北侧建筑范围-司前镇派出所边界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rPr>
        <w:tc>
          <w:tcPr>
            <w:tcW w:w="701" w:type="dxa"/>
            <w:vMerge w:val="continue"/>
            <w:vAlign w:val="center"/>
          </w:tcPr>
          <w:p>
            <w:pPr>
              <w:pStyle w:val="2"/>
              <w:ind w:firstLine="0" w:firstLineChars="0"/>
              <w:jc w:val="center"/>
              <w:rPr>
                <w:rFonts w:ascii="仿宋_GB2312" w:hAnsi="仿宋_GB2312" w:eastAsia="仿宋_GB2312" w:cs="仿宋_GB2312"/>
                <w:sz w:val="24"/>
              </w:rPr>
            </w:pPr>
          </w:p>
        </w:tc>
        <w:tc>
          <w:tcPr>
            <w:tcW w:w="733"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二级</w:t>
            </w:r>
          </w:p>
        </w:tc>
        <w:tc>
          <w:tcPr>
            <w:tcW w:w="1182"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155</w:t>
            </w:r>
          </w:p>
        </w:tc>
        <w:tc>
          <w:tcPr>
            <w:tcW w:w="6670"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rPr>
        <w:tc>
          <w:tcPr>
            <w:tcW w:w="701" w:type="dxa"/>
            <w:vMerge w:val="restart"/>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隘子镇</w:t>
            </w:r>
          </w:p>
        </w:tc>
        <w:tc>
          <w:tcPr>
            <w:tcW w:w="733"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一级</w:t>
            </w:r>
          </w:p>
        </w:tc>
        <w:tc>
          <w:tcPr>
            <w:tcW w:w="1182"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220</w:t>
            </w:r>
          </w:p>
        </w:tc>
        <w:tc>
          <w:tcPr>
            <w:tcW w:w="6670"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隘子中心南侧160米处-农民街西侧沿街建筑物范围-瑶尾村建筑范围-隘子大街西侧100米范围-隆兴驾校隘子训练场边界-隘子中心小学南侧边界-建筑物边界-隘子派出所南侧50米-建筑物边界-农民街东侧沿街建筑物范围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rPr>
        <w:tc>
          <w:tcPr>
            <w:tcW w:w="701" w:type="dxa"/>
            <w:vMerge w:val="continue"/>
            <w:vAlign w:val="center"/>
          </w:tcPr>
          <w:p>
            <w:pPr>
              <w:pStyle w:val="2"/>
              <w:ind w:firstLine="0" w:firstLineChars="0"/>
              <w:jc w:val="center"/>
              <w:rPr>
                <w:rFonts w:ascii="仿宋_GB2312" w:hAnsi="仿宋_GB2312" w:eastAsia="仿宋_GB2312" w:cs="仿宋_GB2312"/>
                <w:sz w:val="24"/>
              </w:rPr>
            </w:pPr>
          </w:p>
        </w:tc>
        <w:tc>
          <w:tcPr>
            <w:tcW w:w="733"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二级</w:t>
            </w:r>
          </w:p>
        </w:tc>
        <w:tc>
          <w:tcPr>
            <w:tcW w:w="1182"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151</w:t>
            </w:r>
          </w:p>
        </w:tc>
        <w:tc>
          <w:tcPr>
            <w:tcW w:w="6670"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rPr>
        <w:tc>
          <w:tcPr>
            <w:tcW w:w="701" w:type="dxa"/>
            <w:vMerge w:val="restart"/>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罗坝镇</w:t>
            </w:r>
          </w:p>
        </w:tc>
        <w:tc>
          <w:tcPr>
            <w:tcW w:w="733"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一级</w:t>
            </w:r>
          </w:p>
        </w:tc>
        <w:tc>
          <w:tcPr>
            <w:tcW w:w="1182"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201</w:t>
            </w:r>
          </w:p>
        </w:tc>
        <w:tc>
          <w:tcPr>
            <w:tcW w:w="6670"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燎原村村委员会北侧建筑物范围-X346西侧沿街建筑物范围-Y352沿街建筑范围-罗坝水东岸-建筑物边界-贺平村南侧边界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rPr>
        <w:tc>
          <w:tcPr>
            <w:tcW w:w="701" w:type="dxa"/>
            <w:vMerge w:val="continue"/>
            <w:vAlign w:val="center"/>
          </w:tcPr>
          <w:p>
            <w:pPr>
              <w:pStyle w:val="2"/>
              <w:ind w:firstLine="0" w:firstLineChars="0"/>
              <w:jc w:val="center"/>
              <w:rPr>
                <w:rFonts w:ascii="仿宋_GB2312" w:hAnsi="仿宋_GB2312" w:eastAsia="仿宋_GB2312" w:cs="仿宋_GB2312"/>
                <w:sz w:val="24"/>
              </w:rPr>
            </w:pPr>
          </w:p>
        </w:tc>
        <w:tc>
          <w:tcPr>
            <w:tcW w:w="733"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二级</w:t>
            </w:r>
          </w:p>
        </w:tc>
        <w:tc>
          <w:tcPr>
            <w:tcW w:w="1182"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139</w:t>
            </w:r>
          </w:p>
        </w:tc>
        <w:tc>
          <w:tcPr>
            <w:tcW w:w="6670"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rPr>
        <w:tc>
          <w:tcPr>
            <w:tcW w:w="701" w:type="dxa"/>
            <w:vMerge w:val="restart"/>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澄江镇</w:t>
            </w:r>
          </w:p>
        </w:tc>
        <w:tc>
          <w:tcPr>
            <w:tcW w:w="733"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一级</w:t>
            </w:r>
          </w:p>
        </w:tc>
        <w:tc>
          <w:tcPr>
            <w:tcW w:w="1182"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181</w:t>
            </w:r>
          </w:p>
        </w:tc>
        <w:tc>
          <w:tcPr>
            <w:tcW w:w="6670"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澄江中心小学东北200米处-澄江中心小学70米处-澄江中心北侧50米处-腊树下村东侧建筑边界-澄江路北侧150米范围内-澄江烟厂东侧边界-山体边界-都安水西岸-建筑物边界-山体边界-建筑物边界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rPr>
        <w:tc>
          <w:tcPr>
            <w:tcW w:w="701" w:type="dxa"/>
            <w:vMerge w:val="continue"/>
            <w:vAlign w:val="center"/>
          </w:tcPr>
          <w:p>
            <w:pPr>
              <w:pStyle w:val="2"/>
              <w:ind w:firstLine="0" w:firstLineChars="0"/>
              <w:jc w:val="center"/>
              <w:rPr>
                <w:rFonts w:ascii="仿宋_GB2312" w:hAnsi="仿宋_GB2312" w:eastAsia="仿宋_GB2312" w:cs="仿宋_GB2312"/>
                <w:sz w:val="24"/>
              </w:rPr>
            </w:pPr>
          </w:p>
        </w:tc>
        <w:tc>
          <w:tcPr>
            <w:tcW w:w="733"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二级</w:t>
            </w:r>
          </w:p>
        </w:tc>
        <w:tc>
          <w:tcPr>
            <w:tcW w:w="1182"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127</w:t>
            </w:r>
          </w:p>
        </w:tc>
        <w:tc>
          <w:tcPr>
            <w:tcW w:w="6670"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rPr>
        <w:tc>
          <w:tcPr>
            <w:tcW w:w="701" w:type="dxa"/>
            <w:vMerge w:val="restart"/>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深渡水瑶族乡</w:t>
            </w:r>
          </w:p>
        </w:tc>
        <w:tc>
          <w:tcPr>
            <w:tcW w:w="733"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一级</w:t>
            </w:r>
          </w:p>
        </w:tc>
        <w:tc>
          <w:tcPr>
            <w:tcW w:w="1182"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143</w:t>
            </w:r>
          </w:p>
        </w:tc>
        <w:tc>
          <w:tcPr>
            <w:tcW w:w="6670"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规划路沿街建筑-G220南侧沿街建筑-深渡水瑶族乡政府大院边界-G220北侧沿街建筑范围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rPr>
        <w:tc>
          <w:tcPr>
            <w:tcW w:w="701" w:type="dxa"/>
            <w:vMerge w:val="continue"/>
            <w:vAlign w:val="center"/>
          </w:tcPr>
          <w:p>
            <w:pPr>
              <w:pStyle w:val="2"/>
              <w:ind w:firstLine="0" w:firstLineChars="0"/>
              <w:jc w:val="center"/>
              <w:rPr>
                <w:rFonts w:ascii="仿宋_GB2312" w:hAnsi="仿宋_GB2312" w:eastAsia="仿宋_GB2312" w:cs="仿宋_GB2312"/>
                <w:sz w:val="24"/>
              </w:rPr>
            </w:pPr>
          </w:p>
        </w:tc>
        <w:tc>
          <w:tcPr>
            <w:tcW w:w="733"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二级</w:t>
            </w:r>
          </w:p>
        </w:tc>
        <w:tc>
          <w:tcPr>
            <w:tcW w:w="1182"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121</w:t>
            </w:r>
          </w:p>
        </w:tc>
        <w:tc>
          <w:tcPr>
            <w:tcW w:w="6670"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bl>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乡镇2022年公用设施用地基准地价级别范围</w:t>
      </w:r>
    </w:p>
    <w:tbl>
      <w:tblPr>
        <w:tblStyle w:val="4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733"/>
        <w:gridCol w:w="1181"/>
        <w:gridCol w:w="66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blHeader/>
        </w:trPr>
        <w:tc>
          <w:tcPr>
            <w:tcW w:w="9286" w:type="dxa"/>
            <w:gridSpan w:val="4"/>
            <w:tcBorders>
              <w:top w:val="nil"/>
              <w:left w:val="nil"/>
              <w:bottom w:val="single" w:color="auto" w:sz="4" w:space="0"/>
              <w:right w:val="nil"/>
            </w:tcBorders>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pacing w:val="-1"/>
                <w:sz w:val="24"/>
              </w:rPr>
              <w:t>(以下级别范围描述仅供参考，具体级</w:t>
            </w:r>
            <w:r>
              <w:rPr>
                <w:rFonts w:hint="eastAsia" w:ascii="仿宋_GB2312" w:hAnsi="仿宋_GB2312" w:eastAsia="仿宋_GB2312" w:cs="仿宋_GB2312"/>
                <w:sz w:val="24"/>
              </w:rPr>
              <w:t>别范围以基准地价级别图为准)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blHeader/>
        </w:trPr>
        <w:tc>
          <w:tcPr>
            <w:tcW w:w="696" w:type="dxa"/>
            <w:tcBorders>
              <w:top w:val="single" w:color="auto" w:sz="4" w:space="0"/>
            </w:tcBorders>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镇名</w:t>
            </w:r>
          </w:p>
        </w:tc>
        <w:tc>
          <w:tcPr>
            <w:tcW w:w="733" w:type="dxa"/>
            <w:tcBorders>
              <w:top w:val="single" w:color="auto" w:sz="4" w:space="0"/>
            </w:tcBorders>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级别</w:t>
            </w:r>
          </w:p>
        </w:tc>
        <w:tc>
          <w:tcPr>
            <w:tcW w:w="1181" w:type="dxa"/>
            <w:tcBorders>
              <w:top w:val="single" w:color="auto" w:sz="4" w:space="0"/>
            </w:tcBorders>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级别价</w:t>
            </w:r>
          </w:p>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（元/㎡）</w:t>
            </w:r>
          </w:p>
        </w:tc>
        <w:tc>
          <w:tcPr>
            <w:tcW w:w="6676" w:type="dxa"/>
            <w:tcBorders>
              <w:top w:val="single" w:color="auto" w:sz="4" w:space="0"/>
            </w:tcBorders>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rPr>
        <w:tc>
          <w:tcPr>
            <w:tcW w:w="696" w:type="dxa"/>
            <w:vMerge w:val="restart"/>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马市镇</w:t>
            </w:r>
          </w:p>
        </w:tc>
        <w:tc>
          <w:tcPr>
            <w:tcW w:w="733"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一级</w:t>
            </w:r>
          </w:p>
        </w:tc>
        <w:tc>
          <w:tcPr>
            <w:tcW w:w="1181"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270</w:t>
            </w:r>
          </w:p>
        </w:tc>
        <w:tc>
          <w:tcPr>
            <w:tcW w:w="6676"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浈江南岸-马市中学西侧边界-马市中心小学西侧边界-建筑边界-马市镇卫生院西侧150米处-马市镇卫生院北侧边界-G323东南侧200米范围-G323东南侧120米范围-G323东南侧240米范围-马市人民法院东侧270米范围-G323北侧60米范围-马市人民法院北侧120米范围-建筑物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rPr>
        <w:tc>
          <w:tcPr>
            <w:tcW w:w="696" w:type="dxa"/>
            <w:vMerge w:val="continue"/>
            <w:vAlign w:val="center"/>
          </w:tcPr>
          <w:p>
            <w:pPr>
              <w:pStyle w:val="2"/>
              <w:ind w:firstLine="0" w:firstLineChars="0"/>
              <w:jc w:val="center"/>
              <w:rPr>
                <w:rFonts w:ascii="仿宋_GB2312" w:hAnsi="仿宋_GB2312" w:eastAsia="仿宋_GB2312" w:cs="仿宋_GB2312"/>
                <w:sz w:val="24"/>
              </w:rPr>
            </w:pPr>
          </w:p>
        </w:tc>
        <w:tc>
          <w:tcPr>
            <w:tcW w:w="733"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二级</w:t>
            </w:r>
          </w:p>
        </w:tc>
        <w:tc>
          <w:tcPr>
            <w:tcW w:w="1181"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166</w:t>
            </w:r>
          </w:p>
        </w:tc>
        <w:tc>
          <w:tcPr>
            <w:tcW w:w="6676"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rPr>
        <w:tc>
          <w:tcPr>
            <w:tcW w:w="696" w:type="dxa"/>
            <w:vMerge w:val="restart"/>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顿岗镇</w:t>
            </w:r>
          </w:p>
        </w:tc>
        <w:tc>
          <w:tcPr>
            <w:tcW w:w="733"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一级</w:t>
            </w:r>
          </w:p>
        </w:tc>
        <w:tc>
          <w:tcPr>
            <w:tcW w:w="1181"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270</w:t>
            </w:r>
          </w:p>
        </w:tc>
        <w:tc>
          <w:tcPr>
            <w:tcW w:w="6676"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围下村村委会以北150米范围-围下村北侧建筑边界-顿岗客运站-G220-顿岗派出所南侧200米处路口-顿岗中心小学边界-下门村东侧边界-罗坝水南岸-建筑物边界线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rPr>
        <w:tc>
          <w:tcPr>
            <w:tcW w:w="696" w:type="dxa"/>
            <w:vMerge w:val="continue"/>
            <w:vAlign w:val="center"/>
          </w:tcPr>
          <w:p>
            <w:pPr>
              <w:pStyle w:val="2"/>
              <w:ind w:firstLine="0" w:firstLineChars="0"/>
              <w:jc w:val="center"/>
              <w:rPr>
                <w:rFonts w:ascii="仿宋_GB2312" w:hAnsi="仿宋_GB2312" w:eastAsia="仿宋_GB2312" w:cs="仿宋_GB2312"/>
                <w:sz w:val="24"/>
              </w:rPr>
            </w:pPr>
          </w:p>
        </w:tc>
        <w:tc>
          <w:tcPr>
            <w:tcW w:w="733"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二级</w:t>
            </w:r>
          </w:p>
        </w:tc>
        <w:tc>
          <w:tcPr>
            <w:tcW w:w="1181"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166</w:t>
            </w:r>
          </w:p>
        </w:tc>
        <w:tc>
          <w:tcPr>
            <w:tcW w:w="6676"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rPr>
        <w:tc>
          <w:tcPr>
            <w:tcW w:w="696" w:type="dxa"/>
            <w:vMerge w:val="restart"/>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沈所镇</w:t>
            </w:r>
          </w:p>
        </w:tc>
        <w:tc>
          <w:tcPr>
            <w:tcW w:w="733"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一级</w:t>
            </w:r>
          </w:p>
        </w:tc>
        <w:tc>
          <w:tcPr>
            <w:tcW w:w="1181"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230</w:t>
            </w:r>
          </w:p>
        </w:tc>
        <w:tc>
          <w:tcPr>
            <w:tcW w:w="6676"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沈所水北岸-麒麟圣类斯希望小学边界-沈所街南侧100米建筑边界-沈所派出所东侧120米范围内-规划路-建筑物边界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rPr>
        <w:tc>
          <w:tcPr>
            <w:tcW w:w="696" w:type="dxa"/>
            <w:vMerge w:val="continue"/>
            <w:vAlign w:val="center"/>
          </w:tcPr>
          <w:p>
            <w:pPr>
              <w:pStyle w:val="2"/>
              <w:ind w:firstLine="0" w:firstLineChars="0"/>
              <w:jc w:val="center"/>
              <w:rPr>
                <w:rFonts w:ascii="仿宋_GB2312" w:hAnsi="仿宋_GB2312" w:eastAsia="仿宋_GB2312" w:cs="仿宋_GB2312"/>
                <w:sz w:val="24"/>
              </w:rPr>
            </w:pPr>
          </w:p>
        </w:tc>
        <w:tc>
          <w:tcPr>
            <w:tcW w:w="733"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二级</w:t>
            </w:r>
          </w:p>
        </w:tc>
        <w:tc>
          <w:tcPr>
            <w:tcW w:w="1181"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166</w:t>
            </w:r>
          </w:p>
        </w:tc>
        <w:tc>
          <w:tcPr>
            <w:tcW w:w="6676"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rPr>
        <w:tc>
          <w:tcPr>
            <w:tcW w:w="696" w:type="dxa"/>
            <w:vMerge w:val="restart"/>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司前镇</w:t>
            </w:r>
          </w:p>
        </w:tc>
        <w:tc>
          <w:tcPr>
            <w:tcW w:w="733"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一级</w:t>
            </w:r>
          </w:p>
        </w:tc>
        <w:tc>
          <w:tcPr>
            <w:tcW w:w="1181"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185</w:t>
            </w:r>
          </w:p>
        </w:tc>
        <w:tc>
          <w:tcPr>
            <w:tcW w:w="6676"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G220-司前大街-司前镇卫生院边界-墨江西岸-黄沙圩水西岸-刘屋排村建筑范围-司前中心南侧边界-司前小学南侧边界-建筑物边界-X346北侧建筑范围-司前镇派出所边界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rPr>
        <w:tc>
          <w:tcPr>
            <w:tcW w:w="696" w:type="dxa"/>
            <w:vMerge w:val="continue"/>
            <w:vAlign w:val="center"/>
          </w:tcPr>
          <w:p>
            <w:pPr>
              <w:pStyle w:val="2"/>
              <w:ind w:firstLine="0" w:firstLineChars="0"/>
              <w:jc w:val="center"/>
              <w:rPr>
                <w:rFonts w:ascii="仿宋_GB2312" w:hAnsi="仿宋_GB2312" w:eastAsia="仿宋_GB2312" w:cs="仿宋_GB2312"/>
                <w:sz w:val="24"/>
              </w:rPr>
            </w:pPr>
          </w:p>
        </w:tc>
        <w:tc>
          <w:tcPr>
            <w:tcW w:w="733"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二级</w:t>
            </w:r>
          </w:p>
        </w:tc>
        <w:tc>
          <w:tcPr>
            <w:tcW w:w="1181"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130</w:t>
            </w:r>
          </w:p>
        </w:tc>
        <w:tc>
          <w:tcPr>
            <w:tcW w:w="6676"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rPr>
        <w:tc>
          <w:tcPr>
            <w:tcW w:w="696" w:type="dxa"/>
            <w:vMerge w:val="restart"/>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隘子镇</w:t>
            </w:r>
          </w:p>
        </w:tc>
        <w:tc>
          <w:tcPr>
            <w:tcW w:w="733"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一级</w:t>
            </w:r>
          </w:p>
        </w:tc>
        <w:tc>
          <w:tcPr>
            <w:tcW w:w="1181"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175</w:t>
            </w:r>
          </w:p>
        </w:tc>
        <w:tc>
          <w:tcPr>
            <w:tcW w:w="6676"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隘子中心南侧160米处-农民街西侧沿街建筑物范围-瑶尾村建筑范围-隘子大街西侧100米范围-隆兴驾校隘子训练场边界-隘子中心小学南侧边界-建筑物边界-隘子派出所南侧50米-建筑物边界-农民街东侧沿街建筑物范围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rPr>
        <w:tc>
          <w:tcPr>
            <w:tcW w:w="696" w:type="dxa"/>
            <w:vMerge w:val="continue"/>
            <w:vAlign w:val="center"/>
          </w:tcPr>
          <w:p>
            <w:pPr>
              <w:pStyle w:val="2"/>
              <w:ind w:firstLine="0" w:firstLineChars="0"/>
              <w:jc w:val="center"/>
              <w:rPr>
                <w:rFonts w:ascii="仿宋_GB2312" w:hAnsi="仿宋_GB2312" w:eastAsia="仿宋_GB2312" w:cs="仿宋_GB2312"/>
                <w:sz w:val="24"/>
              </w:rPr>
            </w:pPr>
          </w:p>
        </w:tc>
        <w:tc>
          <w:tcPr>
            <w:tcW w:w="733"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二级</w:t>
            </w:r>
          </w:p>
        </w:tc>
        <w:tc>
          <w:tcPr>
            <w:tcW w:w="1181"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129</w:t>
            </w:r>
          </w:p>
        </w:tc>
        <w:tc>
          <w:tcPr>
            <w:tcW w:w="6676"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rPr>
        <w:tc>
          <w:tcPr>
            <w:tcW w:w="696" w:type="dxa"/>
            <w:vMerge w:val="restart"/>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罗坝镇</w:t>
            </w:r>
          </w:p>
        </w:tc>
        <w:tc>
          <w:tcPr>
            <w:tcW w:w="733"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一级</w:t>
            </w:r>
          </w:p>
        </w:tc>
        <w:tc>
          <w:tcPr>
            <w:tcW w:w="1181"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165</w:t>
            </w:r>
          </w:p>
        </w:tc>
        <w:tc>
          <w:tcPr>
            <w:tcW w:w="6676"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燎原村村委员会北侧建筑物范围-X346西侧沿街建筑物范围-Y352沿街建筑范围-罗坝水东岸-建筑物边界-贺平村南侧边界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rPr>
        <w:tc>
          <w:tcPr>
            <w:tcW w:w="696" w:type="dxa"/>
            <w:vMerge w:val="continue"/>
            <w:vAlign w:val="center"/>
          </w:tcPr>
          <w:p>
            <w:pPr>
              <w:pStyle w:val="2"/>
              <w:ind w:firstLine="0" w:firstLineChars="0"/>
              <w:jc w:val="center"/>
              <w:rPr>
                <w:rFonts w:ascii="仿宋_GB2312" w:hAnsi="仿宋_GB2312" w:eastAsia="仿宋_GB2312" w:cs="仿宋_GB2312"/>
                <w:sz w:val="24"/>
              </w:rPr>
            </w:pPr>
          </w:p>
        </w:tc>
        <w:tc>
          <w:tcPr>
            <w:tcW w:w="733"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二级</w:t>
            </w:r>
          </w:p>
        </w:tc>
        <w:tc>
          <w:tcPr>
            <w:tcW w:w="1181"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129</w:t>
            </w:r>
          </w:p>
        </w:tc>
        <w:tc>
          <w:tcPr>
            <w:tcW w:w="6676"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rPr>
        <w:tc>
          <w:tcPr>
            <w:tcW w:w="696" w:type="dxa"/>
            <w:vMerge w:val="restart"/>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澄江镇</w:t>
            </w:r>
          </w:p>
        </w:tc>
        <w:tc>
          <w:tcPr>
            <w:tcW w:w="733"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一级</w:t>
            </w:r>
          </w:p>
        </w:tc>
        <w:tc>
          <w:tcPr>
            <w:tcW w:w="1181"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155</w:t>
            </w:r>
          </w:p>
        </w:tc>
        <w:tc>
          <w:tcPr>
            <w:tcW w:w="6676"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澄江中心小学东北200米处-澄江中心小学70米处-澄江中心北侧50米处-腊树下村东侧建筑边界-澄江路北侧150米范围内-澄江烟厂东侧边界-山体边界-都安水西岸-建筑物边界-山体边界-建筑物边界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rPr>
        <w:tc>
          <w:tcPr>
            <w:tcW w:w="696" w:type="dxa"/>
            <w:vMerge w:val="continue"/>
            <w:vAlign w:val="center"/>
          </w:tcPr>
          <w:p>
            <w:pPr>
              <w:pStyle w:val="2"/>
              <w:ind w:firstLine="0" w:firstLineChars="0"/>
              <w:jc w:val="center"/>
              <w:rPr>
                <w:rFonts w:ascii="仿宋_GB2312" w:hAnsi="仿宋_GB2312" w:eastAsia="仿宋_GB2312" w:cs="仿宋_GB2312"/>
                <w:sz w:val="24"/>
              </w:rPr>
            </w:pPr>
          </w:p>
        </w:tc>
        <w:tc>
          <w:tcPr>
            <w:tcW w:w="733"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二级</w:t>
            </w:r>
          </w:p>
        </w:tc>
        <w:tc>
          <w:tcPr>
            <w:tcW w:w="1181" w:type="dxa"/>
            <w:vAlign w:val="center"/>
          </w:tcPr>
          <w:p>
            <w:pPr>
              <w:widowControl/>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119</w:t>
            </w:r>
          </w:p>
        </w:tc>
        <w:tc>
          <w:tcPr>
            <w:tcW w:w="6676"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rPr>
        <w:tc>
          <w:tcPr>
            <w:tcW w:w="696" w:type="dxa"/>
            <w:vMerge w:val="restart"/>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深渡水瑶族乡</w:t>
            </w:r>
          </w:p>
        </w:tc>
        <w:tc>
          <w:tcPr>
            <w:tcW w:w="733"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一级</w:t>
            </w:r>
          </w:p>
        </w:tc>
        <w:tc>
          <w:tcPr>
            <w:tcW w:w="1181"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134</w:t>
            </w:r>
          </w:p>
        </w:tc>
        <w:tc>
          <w:tcPr>
            <w:tcW w:w="6676"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由以下线路围合而成：</w:t>
            </w:r>
            <w:r>
              <w:rPr>
                <w:rFonts w:hint="eastAsia" w:ascii="仿宋_GB2312" w:hAnsi="仿宋_GB2312" w:eastAsia="仿宋_GB2312" w:cs="仿宋_GB2312"/>
                <w:sz w:val="24"/>
              </w:rPr>
              <w:br w:type="textWrapping"/>
            </w:r>
            <w:r>
              <w:rPr>
                <w:rFonts w:hint="eastAsia" w:ascii="仿宋_GB2312" w:hAnsi="仿宋_GB2312" w:eastAsia="仿宋_GB2312" w:cs="仿宋_GB2312"/>
                <w:sz w:val="24"/>
              </w:rPr>
              <w:t>规划路沿街建筑-G220南侧沿街建筑-深渡水瑶族乡政府大院边界-G220北侧沿街建筑范围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trPr>
        <w:tc>
          <w:tcPr>
            <w:tcW w:w="696" w:type="dxa"/>
            <w:vMerge w:val="continue"/>
            <w:vAlign w:val="center"/>
          </w:tcPr>
          <w:p>
            <w:pPr>
              <w:pStyle w:val="2"/>
              <w:ind w:firstLine="0" w:firstLineChars="0"/>
              <w:jc w:val="center"/>
              <w:rPr>
                <w:rFonts w:ascii="仿宋_GB2312" w:hAnsi="仿宋_GB2312" w:eastAsia="仿宋_GB2312" w:cs="仿宋_GB2312"/>
                <w:sz w:val="24"/>
              </w:rPr>
            </w:pPr>
          </w:p>
        </w:tc>
        <w:tc>
          <w:tcPr>
            <w:tcW w:w="733"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二级</w:t>
            </w:r>
          </w:p>
        </w:tc>
        <w:tc>
          <w:tcPr>
            <w:tcW w:w="1181" w:type="dxa"/>
            <w:vAlign w:val="center"/>
          </w:tcPr>
          <w:p>
            <w:pPr>
              <w:pStyle w:val="2"/>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119</w:t>
            </w:r>
          </w:p>
        </w:tc>
        <w:tc>
          <w:tcPr>
            <w:tcW w:w="6676" w:type="dxa"/>
            <w:vAlign w:val="center"/>
          </w:tcPr>
          <w:p>
            <w:pPr>
              <w:pStyle w:val="2"/>
              <w:ind w:firstLine="0" w:firstLineChars="0"/>
              <w:rPr>
                <w:rFonts w:ascii="仿宋_GB2312" w:hAnsi="仿宋_GB2312" w:eastAsia="仿宋_GB2312" w:cs="仿宋_GB2312"/>
                <w:sz w:val="24"/>
              </w:rPr>
            </w:pPr>
            <w:r>
              <w:rPr>
                <w:rFonts w:hint="eastAsia" w:ascii="仿宋_GB2312" w:hAnsi="仿宋_GB2312" w:eastAsia="仿宋_GB2312" w:cs="仿宋_GB2312"/>
                <w:sz w:val="24"/>
              </w:rPr>
              <w:t>除上述级别外，本次评估范围内的其他区域。</w:t>
            </w:r>
          </w:p>
        </w:tc>
      </w:tr>
      <w:bookmarkEnd w:id="21"/>
      <w:bookmarkEnd w:id="22"/>
    </w:tbl>
    <w:p>
      <w:pPr>
        <w:adjustRightInd w:val="0"/>
        <w:spacing w:line="580" w:lineRule="exact"/>
        <w:ind w:firstLine="640"/>
        <w:rPr>
          <w:rFonts w:ascii="楷体_GB2312" w:hAnsi="楷体_GB2312" w:eastAsia="楷体_GB2312" w:cs="楷体_GB2312"/>
          <w:snapToGrid w:val="0"/>
          <w:color w:val="000000"/>
          <w:kern w:val="0"/>
          <w:sz w:val="32"/>
          <w:szCs w:val="32"/>
        </w:rPr>
      </w:pPr>
      <w:bookmarkStart w:id="28" w:name="_Toc8042"/>
      <w:r>
        <w:rPr>
          <w:rFonts w:hint="eastAsia" w:ascii="楷体_GB2312" w:hAnsi="楷体_GB2312" w:eastAsia="楷体_GB2312" w:cs="楷体_GB2312"/>
          <w:snapToGrid w:val="0"/>
          <w:color w:val="000000"/>
          <w:kern w:val="0"/>
          <w:sz w:val="32"/>
          <w:szCs w:val="32"/>
        </w:rPr>
        <w:t>（三）商服路线价表</w:t>
      </w:r>
      <w:bookmarkEnd w:id="28"/>
    </w:p>
    <w:p>
      <w:pPr>
        <w:spacing w:line="600" w:lineRule="exact"/>
        <w:ind w:firstLine="620"/>
        <w:rPr>
          <w:rFonts w:ascii="仿宋_GB2312" w:hAnsi="仿宋_GB2312" w:eastAsia="仿宋_GB2312" w:cs="仿宋_GB2312"/>
          <w:spacing w:val="-5"/>
          <w:kern w:val="0"/>
          <w:sz w:val="32"/>
          <w:szCs w:val="32"/>
        </w:rPr>
      </w:pPr>
      <w:bookmarkStart w:id="29" w:name="_Toc435109065"/>
      <w:bookmarkStart w:id="30" w:name="_Toc435108565"/>
      <w:r>
        <w:rPr>
          <w:rFonts w:hint="eastAsia" w:ascii="仿宋_GB2312" w:hAnsi="仿宋_GB2312" w:eastAsia="仿宋_GB2312" w:cs="仿宋_GB2312"/>
          <w:spacing w:val="-5"/>
          <w:kern w:val="0"/>
          <w:sz w:val="32"/>
          <w:szCs w:val="32"/>
        </w:rPr>
        <w:t>路线价是指对临特定街道、使用价值相等的市街地，设定标准深度(也就是离道路距离远近的一个标准)，求取在该深度上多宗土地的平均单价，并附设于特定街道上，即得到该街道的路线价。一般定义县级路线价的标准深度为城区12米、乡镇10米，标准宽度为4米。在基准地价体系中，由于商业用地地价与住宅用地、工业用地地价的分布规律不同，主要表现出“临街地价高、内街地价低”的特点。因为单纯依靠级别价来进行地价控制存在难度，因此需要利用商业路线价区段进行补充。路线价的价格设定按照商业繁华度，商业地价计算而来。</w:t>
      </w: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始兴县商服用地路线价成果表</w:t>
      </w:r>
    </w:p>
    <w:bookmarkEnd w:id="29"/>
    <w:bookmarkEnd w:id="30"/>
    <w:tbl>
      <w:tblPr>
        <w:tblStyle w:val="47"/>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9"/>
        <w:gridCol w:w="984"/>
        <w:gridCol w:w="2516"/>
        <w:gridCol w:w="3500"/>
        <w:gridCol w:w="9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blHeader/>
        </w:trPr>
        <w:tc>
          <w:tcPr>
            <w:tcW w:w="9286" w:type="dxa"/>
            <w:gridSpan w:val="5"/>
            <w:tcBorders>
              <w:top w:val="nil"/>
              <w:left w:val="nil"/>
              <w:bottom w:val="single" w:color="auto" w:sz="4" w:space="0"/>
              <w:right w:val="nil"/>
            </w:tcBorders>
            <w:vAlign w:val="center"/>
          </w:tcPr>
          <w:p>
            <w:pPr>
              <w:spacing w:line="240" w:lineRule="auto"/>
              <w:ind w:firstLine="0" w:firstLineChars="0"/>
              <w:jc w:val="right"/>
              <w:rPr>
                <w:rFonts w:ascii="仿宋_GB2312" w:hAnsi="仿宋_GB2312" w:eastAsia="仿宋_GB2312" w:cs="仿宋_GB2312"/>
                <w:kern w:val="0"/>
                <w:sz w:val="24"/>
              </w:rPr>
            </w:pPr>
            <w:bookmarkStart w:id="31" w:name="_Toc22206"/>
            <w:bookmarkStart w:id="32" w:name="_Toc18837"/>
            <w:bookmarkStart w:id="33" w:name="_Toc24298"/>
            <w:r>
              <w:rPr>
                <w:rFonts w:hint="eastAsia" w:ascii="仿宋_GB2312" w:hAnsi="仿宋_GB2312" w:eastAsia="仿宋_GB2312" w:cs="仿宋_GB2312"/>
                <w:sz w:val="24"/>
              </w:rPr>
              <w:t>单位：元/平方米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blHeader/>
        </w:trPr>
        <w:tc>
          <w:tcPr>
            <w:tcW w:w="1369" w:type="dxa"/>
            <w:tcBorders>
              <w:top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辖区</w:t>
            </w:r>
          </w:p>
        </w:tc>
        <w:tc>
          <w:tcPr>
            <w:tcW w:w="984" w:type="dxa"/>
            <w:tcBorders>
              <w:top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序号</w:t>
            </w:r>
          </w:p>
        </w:tc>
        <w:tc>
          <w:tcPr>
            <w:tcW w:w="2516" w:type="dxa"/>
            <w:tcBorders>
              <w:top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路线价名称</w:t>
            </w:r>
          </w:p>
        </w:tc>
        <w:tc>
          <w:tcPr>
            <w:tcW w:w="3500" w:type="dxa"/>
            <w:tcBorders>
              <w:top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起止点</w:t>
            </w:r>
          </w:p>
        </w:tc>
        <w:tc>
          <w:tcPr>
            <w:tcW w:w="917" w:type="dxa"/>
            <w:tcBorders>
              <w:top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路线价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369" w:type="dxa"/>
            <w:vMerge w:val="restart"/>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始兴城区</w:t>
            </w:r>
          </w:p>
          <w:p>
            <w:pPr>
              <w:pStyle w:val="2"/>
              <w:autoSpaceDE/>
              <w:autoSpaceDN/>
              <w:ind w:firstLine="0" w:firstLineChars="0"/>
              <w:rPr>
                <w:rFonts w:ascii="仿宋_GB2312" w:hAnsi="仿宋_GB2312" w:eastAsia="仿宋_GB2312" w:cs="仿宋_GB2312"/>
                <w:sz w:val="24"/>
              </w:rPr>
            </w:pPr>
            <w:r>
              <w:rPr>
                <w:rFonts w:hint="eastAsia" w:ascii="仿宋_GB2312" w:hAnsi="仿宋_GB2312" w:eastAsia="仿宋_GB2312" w:cs="仿宋_GB2312"/>
                <w:kern w:val="0"/>
                <w:sz w:val="24"/>
              </w:rPr>
              <w:t>（太平镇、城南镇）</w:t>
            </w:r>
          </w:p>
        </w:tc>
        <w:tc>
          <w:tcPr>
            <w:tcW w:w="98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1</w:t>
            </w:r>
          </w:p>
        </w:tc>
        <w:tc>
          <w:tcPr>
            <w:tcW w:w="251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红旗路</w:t>
            </w:r>
          </w:p>
        </w:tc>
        <w:tc>
          <w:tcPr>
            <w:tcW w:w="350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兴平路至红旗东路</w:t>
            </w:r>
          </w:p>
        </w:tc>
        <w:tc>
          <w:tcPr>
            <w:tcW w:w="91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14211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369"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98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w:t>
            </w:r>
          </w:p>
        </w:tc>
        <w:tc>
          <w:tcPr>
            <w:tcW w:w="251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九龄步行街</w:t>
            </w:r>
          </w:p>
        </w:tc>
        <w:tc>
          <w:tcPr>
            <w:tcW w:w="350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北门路至红旗路</w:t>
            </w:r>
          </w:p>
        </w:tc>
        <w:tc>
          <w:tcPr>
            <w:tcW w:w="91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13833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369"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98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3</w:t>
            </w:r>
          </w:p>
        </w:tc>
        <w:tc>
          <w:tcPr>
            <w:tcW w:w="251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九龄步行西街</w:t>
            </w:r>
          </w:p>
        </w:tc>
        <w:tc>
          <w:tcPr>
            <w:tcW w:w="350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北门路至红旗路</w:t>
            </w:r>
          </w:p>
        </w:tc>
        <w:tc>
          <w:tcPr>
            <w:tcW w:w="91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12555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369"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98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4</w:t>
            </w:r>
          </w:p>
        </w:tc>
        <w:tc>
          <w:tcPr>
            <w:tcW w:w="251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墨江北路</w:t>
            </w:r>
          </w:p>
        </w:tc>
        <w:tc>
          <w:tcPr>
            <w:tcW w:w="350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北门路至墨江南路</w:t>
            </w:r>
          </w:p>
        </w:tc>
        <w:tc>
          <w:tcPr>
            <w:tcW w:w="91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369"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98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5</w:t>
            </w:r>
          </w:p>
        </w:tc>
        <w:tc>
          <w:tcPr>
            <w:tcW w:w="251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公园前路</w:t>
            </w:r>
          </w:p>
        </w:tc>
        <w:tc>
          <w:tcPr>
            <w:tcW w:w="350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红旗路至沿江北路</w:t>
            </w:r>
          </w:p>
        </w:tc>
        <w:tc>
          <w:tcPr>
            <w:tcW w:w="91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11092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369"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98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6</w:t>
            </w:r>
          </w:p>
        </w:tc>
        <w:tc>
          <w:tcPr>
            <w:tcW w:w="251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文化路</w:t>
            </w:r>
          </w:p>
        </w:tc>
        <w:tc>
          <w:tcPr>
            <w:tcW w:w="350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墨江桥北路至公园前路</w:t>
            </w:r>
          </w:p>
        </w:tc>
        <w:tc>
          <w:tcPr>
            <w:tcW w:w="91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9571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369"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98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7</w:t>
            </w:r>
          </w:p>
        </w:tc>
        <w:tc>
          <w:tcPr>
            <w:tcW w:w="251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墨江南路</w:t>
            </w:r>
          </w:p>
        </w:tc>
        <w:tc>
          <w:tcPr>
            <w:tcW w:w="350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红旗路至解放路</w:t>
            </w:r>
          </w:p>
        </w:tc>
        <w:tc>
          <w:tcPr>
            <w:tcW w:w="91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9348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369"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98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8</w:t>
            </w:r>
          </w:p>
        </w:tc>
        <w:tc>
          <w:tcPr>
            <w:tcW w:w="251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 解放路西段</w:t>
            </w:r>
          </w:p>
        </w:tc>
        <w:tc>
          <w:tcPr>
            <w:tcW w:w="350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公园前路至墨江南路</w:t>
            </w:r>
          </w:p>
        </w:tc>
        <w:tc>
          <w:tcPr>
            <w:tcW w:w="91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9282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369"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98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2"/>
                <w:sz w:val="24"/>
              </w:rPr>
            </w:pPr>
            <w:r>
              <w:rPr>
                <w:rFonts w:hint="eastAsia" w:ascii="仿宋_GB2312" w:hAnsi="仿宋_GB2312" w:eastAsia="仿宋_GB2312" w:cs="仿宋_GB2312"/>
                <w:kern w:val="0"/>
                <w:sz w:val="24"/>
              </w:rPr>
              <w:t>9</w:t>
            </w:r>
          </w:p>
        </w:tc>
        <w:tc>
          <w:tcPr>
            <w:tcW w:w="251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北门路西段</w:t>
            </w:r>
          </w:p>
        </w:tc>
        <w:tc>
          <w:tcPr>
            <w:tcW w:w="350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红旗路至东门路</w:t>
            </w:r>
          </w:p>
        </w:tc>
        <w:tc>
          <w:tcPr>
            <w:tcW w:w="91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8802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369"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98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2"/>
                <w:sz w:val="24"/>
              </w:rPr>
            </w:pPr>
            <w:r>
              <w:rPr>
                <w:rFonts w:hint="eastAsia" w:ascii="仿宋_GB2312" w:hAnsi="仿宋_GB2312" w:eastAsia="仿宋_GB2312" w:cs="仿宋_GB2312"/>
                <w:kern w:val="0"/>
                <w:sz w:val="24"/>
              </w:rPr>
              <w:t>10</w:t>
            </w:r>
          </w:p>
        </w:tc>
        <w:tc>
          <w:tcPr>
            <w:tcW w:w="251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东门路</w:t>
            </w:r>
          </w:p>
        </w:tc>
        <w:tc>
          <w:tcPr>
            <w:tcW w:w="350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北门路至红旗东路</w:t>
            </w:r>
          </w:p>
        </w:tc>
        <w:tc>
          <w:tcPr>
            <w:tcW w:w="91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8150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369"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98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2"/>
                <w:sz w:val="24"/>
              </w:rPr>
            </w:pPr>
            <w:r>
              <w:rPr>
                <w:rFonts w:hint="eastAsia" w:ascii="仿宋_GB2312" w:hAnsi="仿宋_GB2312" w:eastAsia="仿宋_GB2312" w:cs="仿宋_GB2312"/>
                <w:kern w:val="0"/>
                <w:sz w:val="24"/>
              </w:rPr>
              <w:t>11</w:t>
            </w:r>
          </w:p>
        </w:tc>
        <w:tc>
          <w:tcPr>
            <w:tcW w:w="251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振兴路</w:t>
            </w:r>
          </w:p>
        </w:tc>
        <w:tc>
          <w:tcPr>
            <w:tcW w:w="350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兴平路至红旗横路</w:t>
            </w:r>
          </w:p>
        </w:tc>
        <w:tc>
          <w:tcPr>
            <w:tcW w:w="91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7700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369"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98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2"/>
                <w:sz w:val="24"/>
              </w:rPr>
            </w:pPr>
            <w:r>
              <w:rPr>
                <w:rFonts w:hint="eastAsia" w:ascii="仿宋_GB2312" w:hAnsi="仿宋_GB2312" w:eastAsia="仿宋_GB2312" w:cs="仿宋_GB2312"/>
                <w:kern w:val="0"/>
                <w:sz w:val="24"/>
              </w:rPr>
              <w:t>12</w:t>
            </w:r>
          </w:p>
        </w:tc>
        <w:tc>
          <w:tcPr>
            <w:tcW w:w="251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红旗横路</w:t>
            </w:r>
          </w:p>
        </w:tc>
        <w:tc>
          <w:tcPr>
            <w:tcW w:w="350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红旗路至解放路</w:t>
            </w:r>
          </w:p>
        </w:tc>
        <w:tc>
          <w:tcPr>
            <w:tcW w:w="91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7697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369"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98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2"/>
                <w:sz w:val="24"/>
              </w:rPr>
            </w:pPr>
            <w:r>
              <w:rPr>
                <w:rFonts w:hint="eastAsia" w:ascii="仿宋_GB2312" w:hAnsi="仿宋_GB2312" w:eastAsia="仿宋_GB2312" w:cs="仿宋_GB2312"/>
                <w:kern w:val="0"/>
                <w:sz w:val="24"/>
              </w:rPr>
              <w:t>13</w:t>
            </w:r>
          </w:p>
        </w:tc>
        <w:tc>
          <w:tcPr>
            <w:tcW w:w="251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公教路</w:t>
            </w:r>
          </w:p>
        </w:tc>
        <w:tc>
          <w:tcPr>
            <w:tcW w:w="350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红旗路至解放路</w:t>
            </w:r>
          </w:p>
        </w:tc>
        <w:tc>
          <w:tcPr>
            <w:tcW w:w="91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7785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369"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98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2"/>
                <w:sz w:val="24"/>
              </w:rPr>
            </w:pPr>
            <w:r>
              <w:rPr>
                <w:rFonts w:hint="eastAsia" w:ascii="仿宋_GB2312" w:hAnsi="仿宋_GB2312" w:eastAsia="仿宋_GB2312" w:cs="仿宋_GB2312"/>
                <w:kern w:val="0"/>
                <w:sz w:val="24"/>
              </w:rPr>
              <w:t>14</w:t>
            </w:r>
          </w:p>
        </w:tc>
        <w:tc>
          <w:tcPr>
            <w:tcW w:w="251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兴平路东段</w:t>
            </w:r>
          </w:p>
        </w:tc>
        <w:tc>
          <w:tcPr>
            <w:tcW w:w="350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丹凤路至红旗路</w:t>
            </w:r>
          </w:p>
        </w:tc>
        <w:tc>
          <w:tcPr>
            <w:tcW w:w="91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7663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369"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98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2"/>
                <w:sz w:val="24"/>
              </w:rPr>
            </w:pPr>
            <w:r>
              <w:rPr>
                <w:rFonts w:hint="eastAsia" w:ascii="仿宋_GB2312" w:hAnsi="仿宋_GB2312" w:eastAsia="仿宋_GB2312" w:cs="仿宋_GB2312"/>
                <w:kern w:val="0"/>
                <w:sz w:val="24"/>
              </w:rPr>
              <w:t>15</w:t>
            </w:r>
          </w:p>
        </w:tc>
        <w:tc>
          <w:tcPr>
            <w:tcW w:w="251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红旗东路</w:t>
            </w:r>
          </w:p>
        </w:tc>
        <w:tc>
          <w:tcPr>
            <w:tcW w:w="350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东门路至迎宾大道</w:t>
            </w:r>
          </w:p>
        </w:tc>
        <w:tc>
          <w:tcPr>
            <w:tcW w:w="91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369"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98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2"/>
                <w:sz w:val="24"/>
              </w:rPr>
            </w:pPr>
            <w:r>
              <w:rPr>
                <w:rFonts w:hint="eastAsia" w:ascii="仿宋_GB2312" w:hAnsi="仿宋_GB2312" w:eastAsia="仿宋_GB2312" w:cs="仿宋_GB2312"/>
                <w:kern w:val="0"/>
                <w:sz w:val="24"/>
              </w:rPr>
              <w:t>16</w:t>
            </w:r>
          </w:p>
        </w:tc>
        <w:tc>
          <w:tcPr>
            <w:tcW w:w="251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丹凤路</w:t>
            </w:r>
          </w:p>
        </w:tc>
        <w:tc>
          <w:tcPr>
            <w:tcW w:w="350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永安大道（G323）至沿江北路</w:t>
            </w:r>
          </w:p>
        </w:tc>
        <w:tc>
          <w:tcPr>
            <w:tcW w:w="91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7625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369"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98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2"/>
                <w:sz w:val="24"/>
              </w:rPr>
            </w:pPr>
            <w:r>
              <w:rPr>
                <w:rFonts w:hint="eastAsia" w:ascii="仿宋_GB2312" w:hAnsi="仿宋_GB2312" w:eastAsia="仿宋_GB2312" w:cs="仿宋_GB2312"/>
                <w:kern w:val="0"/>
                <w:sz w:val="24"/>
              </w:rPr>
              <w:t>17</w:t>
            </w:r>
          </w:p>
        </w:tc>
        <w:tc>
          <w:tcPr>
            <w:tcW w:w="251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迎宾大道中段</w:t>
            </w:r>
          </w:p>
        </w:tc>
        <w:tc>
          <w:tcPr>
            <w:tcW w:w="350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永安大道（G323）至体育路</w:t>
            </w:r>
          </w:p>
        </w:tc>
        <w:tc>
          <w:tcPr>
            <w:tcW w:w="91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7577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369"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98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2"/>
                <w:sz w:val="24"/>
              </w:rPr>
            </w:pPr>
            <w:r>
              <w:rPr>
                <w:rFonts w:hint="eastAsia" w:ascii="仿宋_GB2312" w:hAnsi="仿宋_GB2312" w:eastAsia="仿宋_GB2312" w:cs="仿宋_GB2312"/>
                <w:kern w:val="0"/>
                <w:sz w:val="24"/>
              </w:rPr>
              <w:t>18</w:t>
            </w:r>
          </w:p>
        </w:tc>
        <w:tc>
          <w:tcPr>
            <w:tcW w:w="251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体育路</w:t>
            </w:r>
          </w:p>
        </w:tc>
        <w:tc>
          <w:tcPr>
            <w:tcW w:w="350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沿江北路至迎宾大道</w:t>
            </w:r>
          </w:p>
        </w:tc>
        <w:tc>
          <w:tcPr>
            <w:tcW w:w="91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7561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369"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98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2"/>
                <w:sz w:val="24"/>
              </w:rPr>
            </w:pPr>
            <w:r>
              <w:rPr>
                <w:rFonts w:hint="eastAsia" w:ascii="仿宋_GB2312" w:hAnsi="仿宋_GB2312" w:eastAsia="仿宋_GB2312" w:cs="仿宋_GB2312"/>
                <w:kern w:val="0"/>
                <w:sz w:val="24"/>
              </w:rPr>
              <w:t>19</w:t>
            </w:r>
          </w:p>
        </w:tc>
        <w:tc>
          <w:tcPr>
            <w:tcW w:w="251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永安大道（G323）东段</w:t>
            </w:r>
          </w:p>
        </w:tc>
        <w:tc>
          <w:tcPr>
            <w:tcW w:w="350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丹凤路至北门路</w:t>
            </w:r>
          </w:p>
        </w:tc>
        <w:tc>
          <w:tcPr>
            <w:tcW w:w="91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6953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369"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98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2"/>
                <w:sz w:val="24"/>
              </w:rPr>
            </w:pPr>
            <w:r>
              <w:rPr>
                <w:rFonts w:hint="eastAsia" w:ascii="仿宋_GB2312" w:hAnsi="仿宋_GB2312" w:eastAsia="仿宋_GB2312" w:cs="仿宋_GB2312"/>
                <w:kern w:val="0"/>
                <w:sz w:val="24"/>
              </w:rPr>
              <w:t>20</w:t>
            </w:r>
          </w:p>
        </w:tc>
        <w:tc>
          <w:tcPr>
            <w:tcW w:w="251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红旗西路</w:t>
            </w:r>
          </w:p>
        </w:tc>
        <w:tc>
          <w:tcPr>
            <w:tcW w:w="350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丹凤路至红旗路</w:t>
            </w:r>
          </w:p>
        </w:tc>
        <w:tc>
          <w:tcPr>
            <w:tcW w:w="91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7103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369"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98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2"/>
                <w:sz w:val="24"/>
              </w:rPr>
            </w:pPr>
            <w:r>
              <w:rPr>
                <w:rFonts w:hint="eastAsia" w:ascii="仿宋_GB2312" w:hAnsi="仿宋_GB2312" w:eastAsia="仿宋_GB2312" w:cs="仿宋_GB2312"/>
                <w:kern w:val="0"/>
                <w:sz w:val="24"/>
              </w:rPr>
              <w:t>21</w:t>
            </w:r>
          </w:p>
        </w:tc>
        <w:tc>
          <w:tcPr>
            <w:tcW w:w="251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解放路东段</w:t>
            </w:r>
          </w:p>
        </w:tc>
        <w:tc>
          <w:tcPr>
            <w:tcW w:w="350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墨江南路至南门路</w:t>
            </w:r>
          </w:p>
        </w:tc>
        <w:tc>
          <w:tcPr>
            <w:tcW w:w="91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6440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369"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98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2"/>
                <w:sz w:val="24"/>
              </w:rPr>
            </w:pPr>
            <w:r>
              <w:rPr>
                <w:rFonts w:hint="eastAsia" w:ascii="仿宋_GB2312" w:hAnsi="仿宋_GB2312" w:eastAsia="仿宋_GB2312" w:cs="仿宋_GB2312"/>
                <w:kern w:val="0"/>
                <w:sz w:val="24"/>
              </w:rPr>
              <w:t>22</w:t>
            </w:r>
          </w:p>
        </w:tc>
        <w:tc>
          <w:tcPr>
            <w:tcW w:w="251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迎宾大道北段</w:t>
            </w:r>
          </w:p>
        </w:tc>
        <w:tc>
          <w:tcPr>
            <w:tcW w:w="350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永安大道至转盘处</w:t>
            </w:r>
          </w:p>
        </w:tc>
        <w:tc>
          <w:tcPr>
            <w:tcW w:w="91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5683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369"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98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2"/>
                <w:sz w:val="24"/>
              </w:rPr>
            </w:pPr>
            <w:r>
              <w:rPr>
                <w:rFonts w:hint="eastAsia" w:ascii="仿宋_GB2312" w:hAnsi="仿宋_GB2312" w:eastAsia="仿宋_GB2312" w:cs="仿宋_GB2312"/>
                <w:kern w:val="0"/>
                <w:sz w:val="24"/>
              </w:rPr>
              <w:t>23</w:t>
            </w:r>
          </w:p>
        </w:tc>
        <w:tc>
          <w:tcPr>
            <w:tcW w:w="251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沿江北路</w:t>
            </w:r>
          </w:p>
        </w:tc>
        <w:tc>
          <w:tcPr>
            <w:tcW w:w="350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墨江桥北路至体育路</w:t>
            </w:r>
          </w:p>
        </w:tc>
        <w:tc>
          <w:tcPr>
            <w:tcW w:w="91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5803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trPr>
        <w:tc>
          <w:tcPr>
            <w:tcW w:w="1369"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98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2"/>
                <w:sz w:val="24"/>
              </w:rPr>
            </w:pPr>
            <w:r>
              <w:rPr>
                <w:rFonts w:hint="eastAsia" w:ascii="仿宋_GB2312" w:hAnsi="仿宋_GB2312" w:eastAsia="仿宋_GB2312" w:cs="仿宋_GB2312"/>
                <w:kern w:val="0"/>
                <w:sz w:val="24"/>
              </w:rPr>
              <w:t>24</w:t>
            </w:r>
          </w:p>
        </w:tc>
        <w:tc>
          <w:tcPr>
            <w:tcW w:w="251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北门路东段</w:t>
            </w:r>
          </w:p>
        </w:tc>
        <w:tc>
          <w:tcPr>
            <w:tcW w:w="350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东门路至永安大道（G323）相交处</w:t>
            </w:r>
          </w:p>
        </w:tc>
        <w:tc>
          <w:tcPr>
            <w:tcW w:w="91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5563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369"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98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2"/>
                <w:sz w:val="24"/>
              </w:rPr>
            </w:pPr>
            <w:r>
              <w:rPr>
                <w:rFonts w:hint="eastAsia" w:ascii="仿宋_GB2312" w:hAnsi="仿宋_GB2312" w:eastAsia="仿宋_GB2312" w:cs="仿宋_GB2312"/>
                <w:kern w:val="0"/>
                <w:sz w:val="24"/>
              </w:rPr>
              <w:t>25</w:t>
            </w:r>
          </w:p>
        </w:tc>
        <w:tc>
          <w:tcPr>
            <w:tcW w:w="251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沿江南路</w:t>
            </w:r>
          </w:p>
        </w:tc>
        <w:tc>
          <w:tcPr>
            <w:tcW w:w="350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墨江桥南路至天元大桥</w:t>
            </w:r>
          </w:p>
        </w:tc>
        <w:tc>
          <w:tcPr>
            <w:tcW w:w="91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5524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369"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98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2"/>
                <w:sz w:val="24"/>
              </w:rPr>
            </w:pPr>
            <w:r>
              <w:rPr>
                <w:rFonts w:hint="eastAsia" w:ascii="仿宋_GB2312" w:hAnsi="仿宋_GB2312" w:eastAsia="仿宋_GB2312" w:cs="仿宋_GB2312"/>
                <w:kern w:val="0"/>
                <w:sz w:val="24"/>
              </w:rPr>
              <w:t>26</w:t>
            </w:r>
          </w:p>
        </w:tc>
        <w:tc>
          <w:tcPr>
            <w:tcW w:w="251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墨江桥北路</w:t>
            </w:r>
          </w:p>
        </w:tc>
        <w:tc>
          <w:tcPr>
            <w:tcW w:w="350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永安大道（G323）至沿江北路</w:t>
            </w:r>
          </w:p>
        </w:tc>
        <w:tc>
          <w:tcPr>
            <w:tcW w:w="91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3868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369"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98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27</w:t>
            </w:r>
          </w:p>
        </w:tc>
        <w:tc>
          <w:tcPr>
            <w:tcW w:w="251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红旗西前街</w:t>
            </w:r>
          </w:p>
        </w:tc>
        <w:tc>
          <w:tcPr>
            <w:tcW w:w="350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永安大道（G323）至红旗西路</w:t>
            </w:r>
          </w:p>
        </w:tc>
        <w:tc>
          <w:tcPr>
            <w:tcW w:w="91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3888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369"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98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28</w:t>
            </w:r>
          </w:p>
        </w:tc>
        <w:tc>
          <w:tcPr>
            <w:tcW w:w="251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兴平路西段</w:t>
            </w:r>
          </w:p>
        </w:tc>
        <w:tc>
          <w:tcPr>
            <w:tcW w:w="350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丹凤路至兴隆北路</w:t>
            </w:r>
          </w:p>
        </w:tc>
        <w:tc>
          <w:tcPr>
            <w:tcW w:w="91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3768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369"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98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29</w:t>
            </w:r>
          </w:p>
        </w:tc>
        <w:tc>
          <w:tcPr>
            <w:tcW w:w="251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永安大道（G323）西段</w:t>
            </w:r>
          </w:p>
        </w:tc>
        <w:tc>
          <w:tcPr>
            <w:tcW w:w="350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丹凤路至兴平路相交处</w:t>
            </w:r>
          </w:p>
        </w:tc>
        <w:tc>
          <w:tcPr>
            <w:tcW w:w="91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3380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369"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98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30</w:t>
            </w:r>
          </w:p>
        </w:tc>
        <w:tc>
          <w:tcPr>
            <w:tcW w:w="251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河南路</w:t>
            </w:r>
          </w:p>
        </w:tc>
        <w:tc>
          <w:tcPr>
            <w:tcW w:w="350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墨江桥南路至体育路</w:t>
            </w:r>
          </w:p>
        </w:tc>
        <w:tc>
          <w:tcPr>
            <w:tcW w:w="91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369" w:type="dxa"/>
            <w:vMerge w:val="restart"/>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马市镇</w:t>
            </w:r>
          </w:p>
        </w:tc>
        <w:tc>
          <w:tcPr>
            <w:tcW w:w="98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2"/>
                <w:sz w:val="24"/>
              </w:rPr>
            </w:pPr>
            <w:r>
              <w:rPr>
                <w:rFonts w:hint="eastAsia" w:ascii="仿宋_GB2312" w:hAnsi="仿宋_GB2312" w:eastAsia="仿宋_GB2312" w:cs="仿宋_GB2312"/>
                <w:kern w:val="0"/>
                <w:sz w:val="24"/>
              </w:rPr>
              <w:t>1</w:t>
            </w:r>
          </w:p>
        </w:tc>
        <w:tc>
          <w:tcPr>
            <w:tcW w:w="251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S244线</w:t>
            </w:r>
          </w:p>
        </w:tc>
        <w:tc>
          <w:tcPr>
            <w:tcW w:w="350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影前街-G323</w:t>
            </w:r>
          </w:p>
        </w:tc>
        <w:tc>
          <w:tcPr>
            <w:tcW w:w="91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8506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369"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98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2"/>
                <w:sz w:val="24"/>
              </w:rPr>
            </w:pPr>
            <w:r>
              <w:rPr>
                <w:rFonts w:hint="eastAsia" w:ascii="仿宋_GB2312" w:hAnsi="仿宋_GB2312" w:eastAsia="仿宋_GB2312" w:cs="仿宋_GB2312"/>
                <w:kern w:val="0"/>
                <w:sz w:val="24"/>
              </w:rPr>
              <w:t>2</w:t>
            </w:r>
          </w:p>
        </w:tc>
        <w:tc>
          <w:tcPr>
            <w:tcW w:w="251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学成街</w:t>
            </w:r>
          </w:p>
        </w:tc>
        <w:tc>
          <w:tcPr>
            <w:tcW w:w="350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新马路-马市中学</w:t>
            </w:r>
          </w:p>
        </w:tc>
        <w:tc>
          <w:tcPr>
            <w:tcW w:w="91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6155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369"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98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2"/>
                <w:sz w:val="24"/>
              </w:rPr>
            </w:pPr>
            <w:r>
              <w:rPr>
                <w:rFonts w:hint="eastAsia" w:ascii="仿宋_GB2312" w:hAnsi="仿宋_GB2312" w:eastAsia="仿宋_GB2312" w:cs="仿宋_GB2312"/>
                <w:kern w:val="0"/>
                <w:sz w:val="24"/>
              </w:rPr>
              <w:t>3</w:t>
            </w:r>
          </w:p>
        </w:tc>
        <w:tc>
          <w:tcPr>
            <w:tcW w:w="251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G323马市段</w:t>
            </w:r>
          </w:p>
        </w:tc>
        <w:tc>
          <w:tcPr>
            <w:tcW w:w="350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中心幼儿园-地税局</w:t>
            </w:r>
          </w:p>
        </w:tc>
        <w:tc>
          <w:tcPr>
            <w:tcW w:w="91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5682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369"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98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2"/>
                <w:sz w:val="24"/>
              </w:rPr>
            </w:pPr>
            <w:r>
              <w:rPr>
                <w:rFonts w:hint="eastAsia" w:ascii="仿宋_GB2312" w:hAnsi="仿宋_GB2312" w:eastAsia="仿宋_GB2312" w:cs="仿宋_GB2312"/>
                <w:kern w:val="0"/>
                <w:sz w:val="24"/>
              </w:rPr>
              <w:t>4</w:t>
            </w:r>
          </w:p>
        </w:tc>
        <w:tc>
          <w:tcPr>
            <w:tcW w:w="251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辉煌街</w:t>
            </w:r>
          </w:p>
        </w:tc>
        <w:tc>
          <w:tcPr>
            <w:tcW w:w="350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新马路-S244</w:t>
            </w:r>
          </w:p>
        </w:tc>
        <w:tc>
          <w:tcPr>
            <w:tcW w:w="91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5188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369"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98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2"/>
                <w:sz w:val="24"/>
              </w:rPr>
            </w:pPr>
            <w:r>
              <w:rPr>
                <w:rFonts w:hint="eastAsia" w:ascii="仿宋_GB2312" w:hAnsi="仿宋_GB2312" w:eastAsia="仿宋_GB2312" w:cs="仿宋_GB2312"/>
                <w:kern w:val="0"/>
                <w:sz w:val="24"/>
              </w:rPr>
              <w:t>5</w:t>
            </w:r>
          </w:p>
        </w:tc>
        <w:tc>
          <w:tcPr>
            <w:tcW w:w="251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育才街</w:t>
            </w:r>
          </w:p>
        </w:tc>
        <w:tc>
          <w:tcPr>
            <w:tcW w:w="350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新马路-马市中心小学</w:t>
            </w:r>
          </w:p>
        </w:tc>
        <w:tc>
          <w:tcPr>
            <w:tcW w:w="91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4736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369" w:type="dxa"/>
            <w:vMerge w:val="restart"/>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顿岗镇</w:t>
            </w:r>
          </w:p>
        </w:tc>
        <w:tc>
          <w:tcPr>
            <w:tcW w:w="98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2"/>
                <w:sz w:val="24"/>
              </w:rPr>
            </w:pPr>
            <w:r>
              <w:rPr>
                <w:rFonts w:hint="eastAsia" w:ascii="仿宋_GB2312" w:hAnsi="仿宋_GB2312" w:eastAsia="仿宋_GB2312" w:cs="仿宋_GB2312"/>
                <w:kern w:val="0"/>
                <w:sz w:val="24"/>
              </w:rPr>
              <w:t>1</w:t>
            </w:r>
          </w:p>
        </w:tc>
        <w:tc>
          <w:tcPr>
            <w:tcW w:w="251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S244顿岗段</w:t>
            </w:r>
          </w:p>
        </w:tc>
        <w:tc>
          <w:tcPr>
            <w:tcW w:w="350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中国移动-岔路口</w:t>
            </w:r>
          </w:p>
        </w:tc>
        <w:tc>
          <w:tcPr>
            <w:tcW w:w="91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6616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369"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98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2"/>
                <w:sz w:val="24"/>
              </w:rPr>
            </w:pPr>
            <w:r>
              <w:rPr>
                <w:rFonts w:hint="eastAsia" w:ascii="仿宋_GB2312" w:hAnsi="仿宋_GB2312" w:eastAsia="仿宋_GB2312" w:cs="仿宋_GB2312"/>
                <w:kern w:val="0"/>
                <w:sz w:val="24"/>
              </w:rPr>
              <w:t>2</w:t>
            </w:r>
          </w:p>
        </w:tc>
        <w:tc>
          <w:tcPr>
            <w:tcW w:w="251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市场前路</w:t>
            </w:r>
          </w:p>
        </w:tc>
        <w:tc>
          <w:tcPr>
            <w:tcW w:w="350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综合市场-X346</w:t>
            </w:r>
          </w:p>
        </w:tc>
        <w:tc>
          <w:tcPr>
            <w:tcW w:w="91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4826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1369"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98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2"/>
                <w:sz w:val="24"/>
              </w:rPr>
            </w:pPr>
            <w:r>
              <w:rPr>
                <w:rFonts w:hint="eastAsia" w:ascii="仿宋_GB2312" w:hAnsi="仿宋_GB2312" w:eastAsia="仿宋_GB2312" w:cs="仿宋_GB2312"/>
                <w:kern w:val="0"/>
                <w:sz w:val="24"/>
              </w:rPr>
              <w:t>3</w:t>
            </w:r>
          </w:p>
        </w:tc>
        <w:tc>
          <w:tcPr>
            <w:tcW w:w="251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市场横路</w:t>
            </w:r>
          </w:p>
        </w:tc>
        <w:tc>
          <w:tcPr>
            <w:tcW w:w="350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综合市场-S244</w:t>
            </w:r>
          </w:p>
        </w:tc>
        <w:tc>
          <w:tcPr>
            <w:tcW w:w="91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3767</w:t>
            </w:r>
          </w:p>
        </w:tc>
      </w:tr>
    </w:tbl>
    <w:p>
      <w:pPr>
        <w:spacing w:line="240" w:lineRule="auto"/>
        <w:rPr>
          <w:rFonts w:ascii="仿宋_GB2312" w:hAnsi="仿宋_GB2312" w:eastAsia="仿宋_GB2312" w:cs="仿宋_GB2312"/>
          <w:sz w:val="24"/>
        </w:rPr>
      </w:pPr>
      <w:bookmarkStart w:id="34" w:name="_Toc6799"/>
      <w:r>
        <w:rPr>
          <w:rFonts w:hint="eastAsia" w:ascii="仿宋_GB2312" w:hAnsi="仿宋_GB2312" w:eastAsia="仿宋_GB2312" w:cs="仿宋_GB2312"/>
          <w:sz w:val="24"/>
        </w:rPr>
        <w:t>备注：（1）商服路线价是指通过对临特定街道、使用价值相等的市街地，根据不同区域、类型，设定城区标准深度为12米，乡镇标准深度为10米，标准宽度为4米，求取在该深度上商服用地的平均单价并附设于特定街道上，即得到该街道的商服路线价。</w:t>
      </w:r>
      <w:bookmarkEnd w:id="31"/>
      <w:bookmarkEnd w:id="32"/>
      <w:bookmarkEnd w:id="33"/>
      <w:bookmarkEnd w:id="34"/>
      <w:bookmarkStart w:id="35" w:name="_Toc6548"/>
      <w:bookmarkStart w:id="36" w:name="_Toc13853"/>
      <w:bookmarkStart w:id="37" w:name="_Toc9512"/>
      <w:bookmarkStart w:id="38" w:name="_Toc16844"/>
    </w:p>
    <w:p>
      <w:pPr>
        <w:spacing w:line="240" w:lineRule="auto"/>
        <w:rPr>
          <w:rFonts w:ascii="仿宋_GB2312" w:hAnsi="仿宋_GB2312" w:eastAsia="仿宋_GB2312" w:cs="仿宋_GB2312"/>
          <w:sz w:val="24"/>
        </w:rPr>
      </w:pPr>
      <w:r>
        <w:rPr>
          <w:rFonts w:hint="eastAsia" w:ascii="仿宋_GB2312" w:hAnsi="仿宋_GB2312" w:eastAsia="仿宋_GB2312" w:cs="仿宋_GB2312"/>
          <w:sz w:val="24"/>
        </w:rPr>
        <w:t>（2）标准深度是指在城市中随着土地离道路距离的增加，道路对土地利用价值影响为零时的深度即为市街地的标准深度。</w:t>
      </w:r>
      <w:bookmarkEnd w:id="35"/>
      <w:bookmarkEnd w:id="36"/>
      <w:bookmarkEnd w:id="37"/>
      <w:bookmarkEnd w:id="38"/>
      <w:bookmarkStart w:id="39" w:name="_Toc19759"/>
      <w:bookmarkStart w:id="40" w:name="_Toc2065"/>
      <w:bookmarkStart w:id="41" w:name="_Toc18871"/>
      <w:bookmarkStart w:id="42" w:name="_Toc7970"/>
    </w:p>
    <w:p>
      <w:pPr>
        <w:spacing w:line="240" w:lineRule="auto"/>
        <w:rPr>
          <w:rFonts w:ascii="仿宋_GB2312" w:hAnsi="仿宋_GB2312" w:eastAsia="仿宋_GB2312" w:cs="仿宋_GB2312"/>
          <w:sz w:val="24"/>
        </w:rPr>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4" w:left="1587" w:header="851" w:footer="992" w:gutter="0"/>
          <w:pgNumType w:fmt="numberInDash"/>
          <w:cols w:space="720" w:num="1"/>
          <w:docGrid w:linePitch="312" w:charSpace="0"/>
        </w:sectPr>
      </w:pPr>
      <w:r>
        <w:rPr>
          <w:rFonts w:hint="eastAsia" w:ascii="仿宋_GB2312" w:hAnsi="仿宋_GB2312" w:eastAsia="仿宋_GB2312" w:cs="仿宋_GB2312"/>
          <w:sz w:val="24"/>
        </w:rPr>
        <w:t>（3）上述路段宗地在标准深度内部分的地价为所在地段路线价，超出标准深度部分的地价为所在地段级别基准地价，计算公式为：宗地首层楼面地价=(商服路线价×标准深度内首层建筑面积+级别基准地价×标准深度外首层建筑面积)/首层建筑面积。</w:t>
      </w:r>
      <w:bookmarkEnd w:id="39"/>
      <w:bookmarkEnd w:id="40"/>
      <w:bookmarkEnd w:id="41"/>
      <w:bookmarkEnd w:id="42"/>
    </w:p>
    <w:p>
      <w:pPr>
        <w:autoSpaceDE/>
        <w:autoSpaceDN/>
        <w:spacing w:line="580" w:lineRule="exact"/>
        <w:ind w:firstLine="640"/>
        <w:rPr>
          <w:rFonts w:ascii="黑体" w:hAnsi="黑体" w:eastAsia="黑体" w:cs="黑体"/>
          <w:snapToGrid w:val="0"/>
          <w:kern w:val="2"/>
          <w:sz w:val="32"/>
          <w:szCs w:val="32"/>
        </w:rPr>
      </w:pPr>
      <w:bookmarkStart w:id="43" w:name="_Toc6908"/>
      <w:bookmarkStart w:id="44" w:name="_Toc435108566"/>
      <w:bookmarkStart w:id="45" w:name="_Toc435109066"/>
      <w:bookmarkStart w:id="46" w:name="_Toc10337"/>
      <w:r>
        <w:rPr>
          <w:rFonts w:hint="eastAsia" w:ascii="黑体" w:hAnsi="黑体" w:eastAsia="黑体" w:cs="黑体"/>
          <w:snapToGrid w:val="0"/>
          <w:kern w:val="2"/>
          <w:sz w:val="32"/>
          <w:szCs w:val="32"/>
        </w:rPr>
        <w:t>四、基准地价修正体系</w:t>
      </w:r>
      <w:bookmarkEnd w:id="43"/>
      <w:bookmarkEnd w:id="44"/>
      <w:bookmarkEnd w:id="45"/>
      <w:bookmarkEnd w:id="46"/>
    </w:p>
    <w:p>
      <w:pPr>
        <w:spacing w:line="600" w:lineRule="exact"/>
        <w:ind w:firstLine="620"/>
        <w:rPr>
          <w:sz w:val="32"/>
          <w:szCs w:val="32"/>
        </w:rPr>
      </w:pPr>
      <w:bookmarkStart w:id="47" w:name="_Toc11913"/>
      <w:bookmarkStart w:id="48" w:name="_Toc18239"/>
      <w:bookmarkStart w:id="49" w:name="_Toc30679"/>
      <w:bookmarkStart w:id="50" w:name="_Toc31045"/>
      <w:bookmarkStart w:id="51" w:name="_Toc435109067"/>
      <w:bookmarkStart w:id="52" w:name="_Toc435108567"/>
      <w:r>
        <w:rPr>
          <w:rFonts w:hint="eastAsia" w:ascii="仿宋_GB2312" w:hAnsi="仿宋_GB2312" w:eastAsia="仿宋_GB2312" w:cs="仿宋_GB2312"/>
          <w:spacing w:val="-5"/>
          <w:kern w:val="0"/>
          <w:sz w:val="32"/>
          <w:szCs w:val="32"/>
        </w:rPr>
        <w:t>由于基准地价是满足价格内涵条件下的价格，当宗地条件与价格内涵不一致时，则需进行区域因素、个别因素等修正。因此在宗地基本条件已知的基础上，可根据宗地地价修正系数体系所对应的修正系数，快速、高效、较为合理地计算出该宗地的价格，以满足各方面对宗地地价的需求。根据始兴县基准地价体系，按照《城镇土地估价规程》(GB/T 18508-2014)和《自然资源价格评估通则》（TD/T 1061-2021）要求建立商服用地、住宅用地、工业用地、公共服务用地和公用设施用地的地价修正体系。</w:t>
      </w:r>
      <w:bookmarkEnd w:id="47"/>
      <w:bookmarkEnd w:id="48"/>
      <w:bookmarkEnd w:id="49"/>
      <w:bookmarkEnd w:id="50"/>
    </w:p>
    <w:bookmarkEnd w:id="51"/>
    <w:bookmarkEnd w:id="52"/>
    <w:p>
      <w:pPr>
        <w:adjustRightInd w:val="0"/>
        <w:spacing w:line="580" w:lineRule="exact"/>
        <w:ind w:firstLine="640"/>
        <w:rPr>
          <w:rFonts w:ascii="楷体_GB2312" w:hAnsi="楷体_GB2312" w:eastAsia="楷体_GB2312" w:cs="楷体_GB2312"/>
          <w:snapToGrid w:val="0"/>
          <w:color w:val="000000"/>
          <w:kern w:val="0"/>
          <w:sz w:val="32"/>
          <w:szCs w:val="32"/>
        </w:rPr>
      </w:pPr>
      <w:bookmarkStart w:id="53" w:name="_Toc28107"/>
      <w:r>
        <w:rPr>
          <w:rFonts w:hint="eastAsia" w:ascii="楷体_GB2312" w:hAnsi="楷体_GB2312" w:eastAsia="楷体_GB2312" w:cs="楷体_GB2312"/>
          <w:snapToGrid w:val="0"/>
          <w:color w:val="000000"/>
          <w:kern w:val="0"/>
          <w:sz w:val="32"/>
          <w:szCs w:val="32"/>
        </w:rPr>
        <w:t>（一）城区商服用地修正体系</w:t>
      </w:r>
      <w:bookmarkEnd w:id="53"/>
    </w:p>
    <w:p>
      <w:pPr>
        <w:numPr>
          <w:ilvl w:val="0"/>
          <w:numId w:val="2"/>
        </w:numPr>
        <w:tabs>
          <w:tab w:val="left" w:pos="0"/>
        </w:tabs>
        <w:spacing w:before="72" w:after="72"/>
        <w:ind w:firstLineChars="0"/>
        <w:rPr>
          <w:rFonts w:ascii="仿宋_GB2312" w:hAnsi="仿宋_GB2312" w:eastAsia="仿宋_GB2312" w:cs="仿宋_GB2312"/>
          <w:sz w:val="32"/>
          <w:szCs w:val="32"/>
        </w:rPr>
      </w:pPr>
      <w:bookmarkStart w:id="54" w:name="_Toc435109081"/>
      <w:r>
        <w:rPr>
          <w:rFonts w:hint="eastAsia" w:ascii="仿宋_GB2312" w:hAnsi="仿宋_GB2312" w:eastAsia="仿宋_GB2312" w:cs="仿宋_GB2312"/>
          <w:sz w:val="32"/>
          <w:szCs w:val="32"/>
        </w:rPr>
        <w:t>区域因素修正</w:t>
      </w: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商服用地区域因素修正系数表（一级）</w:t>
      </w:r>
    </w:p>
    <w:tbl>
      <w:tblPr>
        <w:tblStyle w:val="47"/>
        <w:tblW w:w="9279" w:type="dxa"/>
        <w:jc w:val="center"/>
        <w:tblInd w:w="0" w:type="dxa"/>
        <w:tblLayout w:type="fixed"/>
        <w:tblCellMar>
          <w:top w:w="0" w:type="dxa"/>
          <w:left w:w="108" w:type="dxa"/>
          <w:bottom w:w="0" w:type="dxa"/>
          <w:right w:w="108" w:type="dxa"/>
        </w:tblCellMar>
      </w:tblPr>
      <w:tblGrid>
        <w:gridCol w:w="1662"/>
        <w:gridCol w:w="1519"/>
        <w:gridCol w:w="1519"/>
        <w:gridCol w:w="1524"/>
        <w:gridCol w:w="1524"/>
        <w:gridCol w:w="1531"/>
      </w:tblGrid>
      <w:tr>
        <w:tblPrEx>
          <w:tblLayout w:type="fixed"/>
          <w:tblCellMar>
            <w:top w:w="0" w:type="dxa"/>
            <w:left w:w="108" w:type="dxa"/>
            <w:bottom w:w="0" w:type="dxa"/>
            <w:right w:w="108" w:type="dxa"/>
          </w:tblCellMar>
        </w:tblPrEx>
        <w:trPr>
          <w:trHeight w:val="285" w:hRule="atLeast"/>
          <w:tblHeader/>
          <w:jc w:val="center"/>
        </w:trPr>
        <w:tc>
          <w:tcPr>
            <w:tcW w:w="1662" w:type="dxa"/>
            <w:tcBorders>
              <w:top w:val="single" w:color="auto" w:sz="4" w:space="0"/>
              <w:left w:val="single" w:color="000000" w:sz="8"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因素/优劣度</w:t>
            </w:r>
          </w:p>
        </w:tc>
        <w:tc>
          <w:tcPr>
            <w:tcW w:w="1519" w:type="dxa"/>
            <w:tcBorders>
              <w:top w:val="single" w:color="auto"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优</w:t>
            </w:r>
          </w:p>
        </w:tc>
        <w:tc>
          <w:tcPr>
            <w:tcW w:w="1519" w:type="dxa"/>
            <w:tcBorders>
              <w:top w:val="single" w:color="auto"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较优</w:t>
            </w:r>
          </w:p>
        </w:tc>
        <w:tc>
          <w:tcPr>
            <w:tcW w:w="1524" w:type="dxa"/>
            <w:tcBorders>
              <w:top w:val="single" w:color="auto"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一般</w:t>
            </w:r>
          </w:p>
        </w:tc>
        <w:tc>
          <w:tcPr>
            <w:tcW w:w="1524" w:type="dxa"/>
            <w:tcBorders>
              <w:top w:val="single" w:color="auto"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较劣</w:t>
            </w:r>
          </w:p>
        </w:tc>
        <w:tc>
          <w:tcPr>
            <w:tcW w:w="1531" w:type="dxa"/>
            <w:tcBorders>
              <w:top w:val="single" w:color="auto" w:sz="4" w:space="0"/>
              <w:left w:val="single" w:color="000000" w:sz="4" w:space="0"/>
              <w:bottom w:val="single" w:color="000000" w:sz="8" w:space="0"/>
              <w:right w:val="single" w:color="000000" w:sz="8"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劣</w:t>
            </w:r>
          </w:p>
        </w:tc>
      </w:tr>
      <w:tr>
        <w:tblPrEx>
          <w:tblLayout w:type="fixed"/>
          <w:tblCellMar>
            <w:top w:w="0" w:type="dxa"/>
            <w:left w:w="108" w:type="dxa"/>
            <w:bottom w:w="0" w:type="dxa"/>
            <w:right w:w="108" w:type="dxa"/>
          </w:tblCellMar>
        </w:tblPrEx>
        <w:trPr>
          <w:trHeight w:val="325" w:hRule="atLeast"/>
          <w:jc w:val="center"/>
        </w:trPr>
        <w:tc>
          <w:tcPr>
            <w:tcW w:w="1662" w:type="dxa"/>
            <w:tcBorders>
              <w:top w:val="single" w:color="000000" w:sz="8" w:space="0"/>
              <w:left w:val="single" w:color="000000" w:sz="8"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繁华程度</w:t>
            </w:r>
          </w:p>
        </w:tc>
        <w:tc>
          <w:tcPr>
            <w:tcW w:w="1519"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距商服中心近、在农贸市场、大型宾馆区范围内，人流畅旺</w:t>
            </w:r>
          </w:p>
        </w:tc>
        <w:tc>
          <w:tcPr>
            <w:tcW w:w="1519"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距商服中心较近、离集贸市场、宾馆区较近，人流较畅旺</w:t>
            </w:r>
          </w:p>
        </w:tc>
        <w:tc>
          <w:tcPr>
            <w:tcW w:w="1524"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距商服中心有一定距离，与集贸市场、宾馆距离一般、人流量一般</w:t>
            </w:r>
          </w:p>
        </w:tc>
        <w:tc>
          <w:tcPr>
            <w:tcW w:w="1524"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距商服中心较远，所在地区商业气氛平淡，人流较少</w:t>
            </w:r>
          </w:p>
        </w:tc>
        <w:tc>
          <w:tcPr>
            <w:tcW w:w="1531" w:type="dxa"/>
            <w:tcBorders>
              <w:top w:val="single" w:color="000000" w:sz="8" w:space="0"/>
              <w:left w:val="single" w:color="000000" w:sz="4" w:space="0"/>
              <w:bottom w:val="single" w:color="000000" w:sz="4" w:space="0"/>
              <w:right w:val="single" w:color="000000" w:sz="8"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距商服中心远，独立、小型、零星的商业用地</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000000" w:sz="4" w:space="0"/>
              <w:left w:val="single" w:color="000000" w:sz="8"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19"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6.5640%</w:t>
            </w:r>
          </w:p>
        </w:tc>
        <w:tc>
          <w:tcPr>
            <w:tcW w:w="1519"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3.2820%</w:t>
            </w:r>
          </w:p>
        </w:tc>
        <w:tc>
          <w:tcPr>
            <w:tcW w:w="1524"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0.00%</w:t>
            </w:r>
          </w:p>
        </w:tc>
        <w:tc>
          <w:tcPr>
            <w:tcW w:w="1524"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-3.2280%</w:t>
            </w:r>
          </w:p>
        </w:tc>
        <w:tc>
          <w:tcPr>
            <w:tcW w:w="1531"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-6.4560%</w:t>
            </w:r>
          </w:p>
        </w:tc>
      </w:tr>
      <w:tr>
        <w:tblPrEx>
          <w:tblLayout w:type="fixed"/>
          <w:tblCellMar>
            <w:top w:w="0" w:type="dxa"/>
            <w:left w:w="108" w:type="dxa"/>
            <w:bottom w:w="0" w:type="dxa"/>
            <w:right w:w="108" w:type="dxa"/>
          </w:tblCellMar>
        </w:tblPrEx>
        <w:trPr>
          <w:trHeight w:val="1080" w:hRule="atLeast"/>
          <w:jc w:val="center"/>
        </w:trPr>
        <w:tc>
          <w:tcPr>
            <w:tcW w:w="1662" w:type="dxa"/>
            <w:tcBorders>
              <w:top w:val="single" w:color="000000" w:sz="8" w:space="0"/>
              <w:left w:val="single" w:color="000000" w:sz="8"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交通条件</w:t>
            </w:r>
          </w:p>
        </w:tc>
        <w:tc>
          <w:tcPr>
            <w:tcW w:w="1519"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道路通达度高、距长途汽车站近、交通方便</w:t>
            </w:r>
          </w:p>
        </w:tc>
        <w:tc>
          <w:tcPr>
            <w:tcW w:w="1519"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道路通达度较高、距长途汽车站较近，交通较方便</w:t>
            </w:r>
          </w:p>
        </w:tc>
        <w:tc>
          <w:tcPr>
            <w:tcW w:w="1524"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道路通达度一般、距长途汽车站距离一般，交通一般</w:t>
            </w:r>
          </w:p>
        </w:tc>
        <w:tc>
          <w:tcPr>
            <w:tcW w:w="1524"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道路通达度较低、距长途汽车站较远，交通较差</w:t>
            </w:r>
          </w:p>
        </w:tc>
        <w:tc>
          <w:tcPr>
            <w:tcW w:w="1531" w:type="dxa"/>
            <w:tcBorders>
              <w:top w:val="single" w:color="000000" w:sz="8" w:space="0"/>
              <w:left w:val="single" w:color="000000" w:sz="4" w:space="0"/>
              <w:bottom w:val="single" w:color="000000" w:sz="4" w:space="0"/>
              <w:right w:val="single" w:color="000000" w:sz="8"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道路通达度低、距长途汽车站远，交通不方便</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000000" w:sz="4" w:space="0"/>
              <w:left w:val="single" w:color="000000" w:sz="8"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19"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4.9662%</w:t>
            </w:r>
          </w:p>
        </w:tc>
        <w:tc>
          <w:tcPr>
            <w:tcW w:w="1519"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2.4831%</w:t>
            </w:r>
          </w:p>
        </w:tc>
        <w:tc>
          <w:tcPr>
            <w:tcW w:w="1524"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-2.4422%</w:t>
            </w:r>
          </w:p>
        </w:tc>
        <w:tc>
          <w:tcPr>
            <w:tcW w:w="1531"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-4.8844%</w:t>
            </w:r>
          </w:p>
        </w:tc>
      </w:tr>
      <w:tr>
        <w:tblPrEx>
          <w:tblLayout w:type="fixed"/>
          <w:tblCellMar>
            <w:top w:w="0" w:type="dxa"/>
            <w:left w:w="108" w:type="dxa"/>
            <w:bottom w:w="0" w:type="dxa"/>
            <w:right w:w="108" w:type="dxa"/>
          </w:tblCellMar>
        </w:tblPrEx>
        <w:trPr>
          <w:trHeight w:val="326" w:hRule="atLeast"/>
          <w:jc w:val="center"/>
        </w:trPr>
        <w:tc>
          <w:tcPr>
            <w:tcW w:w="1662" w:type="dxa"/>
            <w:tcBorders>
              <w:top w:val="single" w:color="000000" w:sz="8" w:space="0"/>
              <w:left w:val="single" w:color="000000" w:sz="8"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基本设施状况</w:t>
            </w:r>
          </w:p>
        </w:tc>
        <w:tc>
          <w:tcPr>
            <w:tcW w:w="1519"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市政供水，供电保证率高，排水状况好，周围学校、银行、邮电局（所）、医院等生活设施配套完备</w:t>
            </w:r>
          </w:p>
        </w:tc>
        <w:tc>
          <w:tcPr>
            <w:tcW w:w="1519"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市政供水，供电保证率较高，排水状况较好，周围学校、银行、邮电局（所）、医院等生活设施配套较完备</w:t>
            </w:r>
          </w:p>
        </w:tc>
        <w:tc>
          <w:tcPr>
            <w:tcW w:w="1524"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市政供水，供电保证率一般，排水状况一般，周围学校、银行、邮电局（所）、医院等生活设施配套一般</w:t>
            </w:r>
          </w:p>
        </w:tc>
        <w:tc>
          <w:tcPr>
            <w:tcW w:w="1524"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市政供水，供电保证率较低，排水状况较差，离学校、银行、邮电局（所）、医院等生活设施有一定的距离</w:t>
            </w:r>
          </w:p>
        </w:tc>
        <w:tc>
          <w:tcPr>
            <w:tcW w:w="1531" w:type="dxa"/>
            <w:tcBorders>
              <w:top w:val="single" w:color="000000" w:sz="8" w:space="0"/>
              <w:left w:val="single" w:color="000000" w:sz="4" w:space="0"/>
              <w:bottom w:val="single" w:color="000000" w:sz="4" w:space="0"/>
              <w:right w:val="single" w:color="000000" w:sz="8"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市政供水，供电保证率低，排水状况差，离学校、银行、邮电局（所）、医院较远，生活设施配套不完备</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000000" w:sz="4" w:space="0"/>
              <w:left w:val="single" w:color="000000" w:sz="8"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19"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4.8099%</w:t>
            </w:r>
          </w:p>
        </w:tc>
        <w:tc>
          <w:tcPr>
            <w:tcW w:w="1519"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2.4049%</w:t>
            </w:r>
          </w:p>
        </w:tc>
        <w:tc>
          <w:tcPr>
            <w:tcW w:w="1524"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-2.3654%</w:t>
            </w:r>
          </w:p>
        </w:tc>
        <w:tc>
          <w:tcPr>
            <w:tcW w:w="1531"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-4.7307%</w:t>
            </w:r>
          </w:p>
        </w:tc>
      </w:tr>
      <w:tr>
        <w:tblPrEx>
          <w:tblLayout w:type="fixed"/>
          <w:tblCellMar>
            <w:top w:w="0" w:type="dxa"/>
            <w:left w:w="108" w:type="dxa"/>
            <w:bottom w:w="0" w:type="dxa"/>
            <w:right w:w="108" w:type="dxa"/>
          </w:tblCellMar>
        </w:tblPrEx>
        <w:trPr>
          <w:trHeight w:val="270" w:hRule="atLeast"/>
          <w:jc w:val="center"/>
        </w:trPr>
        <w:tc>
          <w:tcPr>
            <w:tcW w:w="1662" w:type="dxa"/>
            <w:tcBorders>
              <w:top w:val="single" w:color="000000" w:sz="8" w:space="0"/>
              <w:left w:val="single" w:color="000000" w:sz="8"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人口状况</w:t>
            </w:r>
          </w:p>
        </w:tc>
        <w:tc>
          <w:tcPr>
            <w:tcW w:w="1519"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人口密度高</w:t>
            </w:r>
          </w:p>
        </w:tc>
        <w:tc>
          <w:tcPr>
            <w:tcW w:w="1519"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人口密度较高</w:t>
            </w:r>
          </w:p>
        </w:tc>
        <w:tc>
          <w:tcPr>
            <w:tcW w:w="1524"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人口密度一般</w:t>
            </w:r>
          </w:p>
        </w:tc>
        <w:tc>
          <w:tcPr>
            <w:tcW w:w="1524"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人口密度较低</w:t>
            </w:r>
          </w:p>
        </w:tc>
        <w:tc>
          <w:tcPr>
            <w:tcW w:w="1531" w:type="dxa"/>
            <w:tcBorders>
              <w:top w:val="single" w:color="000000" w:sz="8" w:space="0"/>
              <w:left w:val="single" w:color="000000" w:sz="4" w:space="0"/>
              <w:bottom w:val="single" w:color="000000" w:sz="4" w:space="0"/>
              <w:right w:val="single" w:color="000000" w:sz="8"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人口密度低</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000000" w:sz="4" w:space="0"/>
              <w:left w:val="single" w:color="000000" w:sz="8"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19"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3.8442%</w:t>
            </w:r>
          </w:p>
        </w:tc>
        <w:tc>
          <w:tcPr>
            <w:tcW w:w="1519"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1.9221%</w:t>
            </w:r>
          </w:p>
        </w:tc>
        <w:tc>
          <w:tcPr>
            <w:tcW w:w="1524"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-1.8905%</w:t>
            </w:r>
          </w:p>
        </w:tc>
        <w:tc>
          <w:tcPr>
            <w:tcW w:w="1531"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-3.7809%</w:t>
            </w:r>
          </w:p>
        </w:tc>
      </w:tr>
      <w:tr>
        <w:tblPrEx>
          <w:tblLayout w:type="fixed"/>
          <w:tblCellMar>
            <w:top w:w="0" w:type="dxa"/>
            <w:left w:w="108" w:type="dxa"/>
            <w:bottom w:w="0" w:type="dxa"/>
            <w:right w:w="108" w:type="dxa"/>
          </w:tblCellMar>
        </w:tblPrEx>
        <w:trPr>
          <w:trHeight w:val="270" w:hRule="atLeast"/>
          <w:jc w:val="center"/>
        </w:trPr>
        <w:tc>
          <w:tcPr>
            <w:tcW w:w="1662" w:type="dxa"/>
            <w:tcBorders>
              <w:top w:val="single" w:color="000000" w:sz="8" w:space="0"/>
              <w:left w:val="single" w:color="000000" w:sz="8"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城镇规划</w:t>
            </w:r>
          </w:p>
        </w:tc>
        <w:tc>
          <w:tcPr>
            <w:tcW w:w="1519"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规划前景好</w:t>
            </w:r>
          </w:p>
        </w:tc>
        <w:tc>
          <w:tcPr>
            <w:tcW w:w="1519"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规划前景较好</w:t>
            </w:r>
          </w:p>
        </w:tc>
        <w:tc>
          <w:tcPr>
            <w:tcW w:w="1524"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规划前景一般</w:t>
            </w:r>
          </w:p>
        </w:tc>
        <w:tc>
          <w:tcPr>
            <w:tcW w:w="1524"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规划前景较差</w:t>
            </w:r>
          </w:p>
        </w:tc>
        <w:tc>
          <w:tcPr>
            <w:tcW w:w="1531" w:type="dxa"/>
            <w:tcBorders>
              <w:top w:val="single" w:color="000000" w:sz="8" w:space="0"/>
              <w:left w:val="single" w:color="000000" w:sz="4" w:space="0"/>
              <w:bottom w:val="single" w:color="000000" w:sz="4" w:space="0"/>
              <w:right w:val="single" w:color="000000" w:sz="8"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规划前景差</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000000" w:sz="4" w:space="0"/>
              <w:left w:val="single" w:color="000000" w:sz="8"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19"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3.1444%</w:t>
            </w:r>
          </w:p>
        </w:tc>
        <w:tc>
          <w:tcPr>
            <w:tcW w:w="1519"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1.5722%</w:t>
            </w:r>
          </w:p>
        </w:tc>
        <w:tc>
          <w:tcPr>
            <w:tcW w:w="1524"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-1.5463%</w:t>
            </w:r>
          </w:p>
        </w:tc>
        <w:tc>
          <w:tcPr>
            <w:tcW w:w="1531"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-3.0926%</w:t>
            </w:r>
          </w:p>
        </w:tc>
      </w:tr>
    </w:tbl>
    <w:p>
      <w:pPr>
        <w:spacing w:line="60" w:lineRule="exact"/>
        <w:ind w:firstLine="560"/>
      </w:pP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商服用地区域因素修正系数表（二级）</w:t>
      </w:r>
    </w:p>
    <w:tbl>
      <w:tblPr>
        <w:tblStyle w:val="47"/>
        <w:tblW w:w="9279" w:type="dxa"/>
        <w:jc w:val="center"/>
        <w:tblInd w:w="0" w:type="dxa"/>
        <w:tblLayout w:type="fixed"/>
        <w:tblCellMar>
          <w:top w:w="0" w:type="dxa"/>
          <w:left w:w="108" w:type="dxa"/>
          <w:bottom w:w="0" w:type="dxa"/>
          <w:right w:w="108" w:type="dxa"/>
        </w:tblCellMar>
      </w:tblPr>
      <w:tblGrid>
        <w:gridCol w:w="1662"/>
        <w:gridCol w:w="1521"/>
        <w:gridCol w:w="1521"/>
        <w:gridCol w:w="1524"/>
        <w:gridCol w:w="1524"/>
        <w:gridCol w:w="1527"/>
      </w:tblGrid>
      <w:tr>
        <w:tblPrEx>
          <w:tblLayout w:type="fixed"/>
          <w:tblCellMar>
            <w:top w:w="0" w:type="dxa"/>
            <w:left w:w="108" w:type="dxa"/>
            <w:bottom w:w="0" w:type="dxa"/>
            <w:right w:w="108" w:type="dxa"/>
          </w:tblCellMar>
        </w:tblPrEx>
        <w:trPr>
          <w:trHeight w:val="285" w:hRule="atLeast"/>
          <w:tblHeader/>
          <w:jc w:val="center"/>
        </w:trPr>
        <w:tc>
          <w:tcPr>
            <w:tcW w:w="1662" w:type="dxa"/>
            <w:tcBorders>
              <w:top w:val="single" w:color="auto" w:sz="4" w:space="0"/>
              <w:left w:val="single" w:color="000000" w:sz="8"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因素/优劣度</w:t>
            </w:r>
          </w:p>
        </w:tc>
        <w:tc>
          <w:tcPr>
            <w:tcW w:w="1521" w:type="dxa"/>
            <w:tcBorders>
              <w:top w:val="single" w:color="auto"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优</w:t>
            </w:r>
          </w:p>
        </w:tc>
        <w:tc>
          <w:tcPr>
            <w:tcW w:w="1521" w:type="dxa"/>
            <w:tcBorders>
              <w:top w:val="single" w:color="auto"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较优</w:t>
            </w:r>
          </w:p>
        </w:tc>
        <w:tc>
          <w:tcPr>
            <w:tcW w:w="1524" w:type="dxa"/>
            <w:tcBorders>
              <w:top w:val="single" w:color="auto"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一般</w:t>
            </w:r>
          </w:p>
        </w:tc>
        <w:tc>
          <w:tcPr>
            <w:tcW w:w="1524" w:type="dxa"/>
            <w:tcBorders>
              <w:top w:val="single" w:color="auto"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较劣</w:t>
            </w:r>
          </w:p>
        </w:tc>
        <w:tc>
          <w:tcPr>
            <w:tcW w:w="1527" w:type="dxa"/>
            <w:tcBorders>
              <w:top w:val="single" w:color="auto" w:sz="4" w:space="0"/>
              <w:left w:val="single" w:color="000000" w:sz="4" w:space="0"/>
              <w:bottom w:val="single" w:color="000000" w:sz="8" w:space="0"/>
              <w:right w:val="single" w:color="000000" w:sz="8"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劣</w:t>
            </w:r>
          </w:p>
        </w:tc>
      </w:tr>
      <w:tr>
        <w:tblPrEx>
          <w:tblLayout w:type="fixed"/>
          <w:tblCellMar>
            <w:top w:w="0" w:type="dxa"/>
            <w:left w:w="108" w:type="dxa"/>
            <w:bottom w:w="0" w:type="dxa"/>
            <w:right w:w="108" w:type="dxa"/>
          </w:tblCellMar>
        </w:tblPrEx>
        <w:trPr>
          <w:trHeight w:val="1350" w:hRule="atLeast"/>
          <w:jc w:val="center"/>
        </w:trPr>
        <w:tc>
          <w:tcPr>
            <w:tcW w:w="1662" w:type="dxa"/>
            <w:tcBorders>
              <w:top w:val="single" w:color="000000" w:sz="8" w:space="0"/>
              <w:left w:val="single" w:color="000000" w:sz="8"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繁华程度</w:t>
            </w:r>
          </w:p>
        </w:tc>
        <w:tc>
          <w:tcPr>
            <w:tcW w:w="1521"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距商服中心近、在农贸市场、大型宾馆区范围内，人流畅旺</w:t>
            </w:r>
          </w:p>
        </w:tc>
        <w:tc>
          <w:tcPr>
            <w:tcW w:w="1521"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距商服中心较近、离集贸市场、宾馆区较近，人流较畅旺</w:t>
            </w:r>
          </w:p>
        </w:tc>
        <w:tc>
          <w:tcPr>
            <w:tcW w:w="1524"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距商服中心有一定距离，与集贸市场、宾馆距离一般、人流量一般</w:t>
            </w:r>
          </w:p>
        </w:tc>
        <w:tc>
          <w:tcPr>
            <w:tcW w:w="1524"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距商服中心较远，所在地区商业气氛平淡，人流较少</w:t>
            </w:r>
          </w:p>
        </w:tc>
        <w:tc>
          <w:tcPr>
            <w:tcW w:w="1527" w:type="dxa"/>
            <w:tcBorders>
              <w:top w:val="single" w:color="000000" w:sz="8" w:space="0"/>
              <w:left w:val="single" w:color="000000" w:sz="4" w:space="0"/>
              <w:bottom w:val="single" w:color="000000" w:sz="4" w:space="0"/>
              <w:right w:val="single" w:color="000000" w:sz="8"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距商服中心远，独立、小型、零星的商业用地</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000000" w:sz="4" w:space="0"/>
              <w:left w:val="single" w:color="000000" w:sz="8"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6.7989%</w:t>
            </w:r>
          </w:p>
        </w:tc>
        <w:tc>
          <w:tcPr>
            <w:tcW w:w="1521"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3.3995%</w:t>
            </w:r>
          </w:p>
        </w:tc>
        <w:tc>
          <w:tcPr>
            <w:tcW w:w="1524"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-3.4003%</w:t>
            </w:r>
          </w:p>
        </w:tc>
        <w:tc>
          <w:tcPr>
            <w:tcW w:w="1527"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-6.8005%</w:t>
            </w:r>
          </w:p>
        </w:tc>
      </w:tr>
      <w:tr>
        <w:tblPrEx>
          <w:tblLayout w:type="fixed"/>
          <w:tblCellMar>
            <w:top w:w="0" w:type="dxa"/>
            <w:left w:w="108" w:type="dxa"/>
            <w:bottom w:w="0" w:type="dxa"/>
            <w:right w:w="108" w:type="dxa"/>
          </w:tblCellMar>
        </w:tblPrEx>
        <w:trPr>
          <w:trHeight w:val="1080" w:hRule="atLeast"/>
          <w:jc w:val="center"/>
        </w:trPr>
        <w:tc>
          <w:tcPr>
            <w:tcW w:w="1662" w:type="dxa"/>
            <w:tcBorders>
              <w:top w:val="single" w:color="000000" w:sz="8" w:space="0"/>
              <w:left w:val="single" w:color="000000" w:sz="8"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交通条件</w:t>
            </w:r>
          </w:p>
        </w:tc>
        <w:tc>
          <w:tcPr>
            <w:tcW w:w="1521"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道路通达度高、距长途汽车站近、交通方便</w:t>
            </w:r>
          </w:p>
        </w:tc>
        <w:tc>
          <w:tcPr>
            <w:tcW w:w="1521"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道路通达度较高、距长途汽车站较近，交通较方便</w:t>
            </w:r>
          </w:p>
        </w:tc>
        <w:tc>
          <w:tcPr>
            <w:tcW w:w="1524"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道路通达度一般、距长途汽车站距离一般，交通一般</w:t>
            </w:r>
          </w:p>
        </w:tc>
        <w:tc>
          <w:tcPr>
            <w:tcW w:w="1524"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道路通达度较低、距长途汽车站较远，交通较差</w:t>
            </w:r>
          </w:p>
        </w:tc>
        <w:tc>
          <w:tcPr>
            <w:tcW w:w="1527" w:type="dxa"/>
            <w:tcBorders>
              <w:top w:val="single" w:color="000000" w:sz="8" w:space="0"/>
              <w:left w:val="single" w:color="000000" w:sz="4" w:space="0"/>
              <w:bottom w:val="single" w:color="000000" w:sz="4" w:space="0"/>
              <w:right w:val="single" w:color="000000" w:sz="8"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道路通达度低、距长途汽车站远，交通不方便</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000000" w:sz="4" w:space="0"/>
              <w:left w:val="single" w:color="000000" w:sz="8"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5.1439%</w:t>
            </w:r>
          </w:p>
        </w:tc>
        <w:tc>
          <w:tcPr>
            <w:tcW w:w="1521"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2.5719%</w:t>
            </w:r>
          </w:p>
        </w:tc>
        <w:tc>
          <w:tcPr>
            <w:tcW w:w="1524"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-2.5725%</w:t>
            </w:r>
          </w:p>
        </w:tc>
        <w:tc>
          <w:tcPr>
            <w:tcW w:w="1527"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-5.1451%</w:t>
            </w:r>
          </w:p>
        </w:tc>
      </w:tr>
      <w:tr>
        <w:tblPrEx>
          <w:tblLayout w:type="fixed"/>
          <w:tblCellMar>
            <w:top w:w="0" w:type="dxa"/>
            <w:left w:w="108" w:type="dxa"/>
            <w:bottom w:w="0" w:type="dxa"/>
            <w:right w:w="108" w:type="dxa"/>
          </w:tblCellMar>
        </w:tblPrEx>
        <w:trPr>
          <w:trHeight w:val="364" w:hRule="atLeast"/>
          <w:jc w:val="center"/>
        </w:trPr>
        <w:tc>
          <w:tcPr>
            <w:tcW w:w="1662" w:type="dxa"/>
            <w:tcBorders>
              <w:top w:val="single" w:color="000000" w:sz="8" w:space="0"/>
              <w:left w:val="single" w:color="000000" w:sz="8"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基本设施状况</w:t>
            </w:r>
          </w:p>
        </w:tc>
        <w:tc>
          <w:tcPr>
            <w:tcW w:w="1521"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市政供水，供电保证率高，排水状况好，周围学校、银行、邮电局（所）、医院等生活设施配套完备</w:t>
            </w:r>
          </w:p>
        </w:tc>
        <w:tc>
          <w:tcPr>
            <w:tcW w:w="1521"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市政供水，供电保证率较高，排水状况较好，周围学校、银行、邮电局（所）、医院等生活设施配套较完备</w:t>
            </w:r>
          </w:p>
        </w:tc>
        <w:tc>
          <w:tcPr>
            <w:tcW w:w="1524"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市政供水，供电保证率一般，排水状况一般，周围学校、银行、邮电局（所）、医院等生活设施配套一般</w:t>
            </w:r>
          </w:p>
        </w:tc>
        <w:tc>
          <w:tcPr>
            <w:tcW w:w="1524"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市政供水，供电保证率较低，排水状况较差，离学校、银行、邮电局（所）、医院等生活设施有一定的距离</w:t>
            </w:r>
          </w:p>
        </w:tc>
        <w:tc>
          <w:tcPr>
            <w:tcW w:w="1527" w:type="dxa"/>
            <w:tcBorders>
              <w:top w:val="single" w:color="000000" w:sz="8" w:space="0"/>
              <w:left w:val="single" w:color="000000" w:sz="4" w:space="0"/>
              <w:bottom w:val="single" w:color="000000" w:sz="4" w:space="0"/>
              <w:right w:val="single" w:color="000000" w:sz="8"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市政供水，供电保证率低，排水状况差，离学校、银行、邮电局（所）、医院较远，生活设施配套不完备</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000000" w:sz="4" w:space="0"/>
              <w:left w:val="single" w:color="000000" w:sz="8"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4.9820%</w:t>
            </w:r>
          </w:p>
        </w:tc>
        <w:tc>
          <w:tcPr>
            <w:tcW w:w="1521"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2.4910%</w:t>
            </w:r>
          </w:p>
        </w:tc>
        <w:tc>
          <w:tcPr>
            <w:tcW w:w="1524"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-2.4916%</w:t>
            </w:r>
          </w:p>
        </w:tc>
        <w:tc>
          <w:tcPr>
            <w:tcW w:w="1527"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-4.9832%</w:t>
            </w:r>
          </w:p>
        </w:tc>
      </w:tr>
      <w:tr>
        <w:tblPrEx>
          <w:tblLayout w:type="fixed"/>
          <w:tblCellMar>
            <w:top w:w="0" w:type="dxa"/>
            <w:left w:w="108" w:type="dxa"/>
            <w:bottom w:w="0" w:type="dxa"/>
            <w:right w:w="108" w:type="dxa"/>
          </w:tblCellMar>
        </w:tblPrEx>
        <w:trPr>
          <w:trHeight w:val="270" w:hRule="atLeast"/>
          <w:jc w:val="center"/>
        </w:trPr>
        <w:tc>
          <w:tcPr>
            <w:tcW w:w="1662" w:type="dxa"/>
            <w:tcBorders>
              <w:top w:val="single" w:color="000000" w:sz="8" w:space="0"/>
              <w:left w:val="single" w:color="000000" w:sz="8"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人口状况</w:t>
            </w:r>
          </w:p>
        </w:tc>
        <w:tc>
          <w:tcPr>
            <w:tcW w:w="1521"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人口密度高</w:t>
            </w:r>
          </w:p>
        </w:tc>
        <w:tc>
          <w:tcPr>
            <w:tcW w:w="1521"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人口密度较高</w:t>
            </w:r>
          </w:p>
        </w:tc>
        <w:tc>
          <w:tcPr>
            <w:tcW w:w="1524"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人口密度一般</w:t>
            </w:r>
          </w:p>
        </w:tc>
        <w:tc>
          <w:tcPr>
            <w:tcW w:w="1524"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人口密度较低</w:t>
            </w:r>
          </w:p>
        </w:tc>
        <w:tc>
          <w:tcPr>
            <w:tcW w:w="1527" w:type="dxa"/>
            <w:tcBorders>
              <w:top w:val="single" w:color="000000" w:sz="8" w:space="0"/>
              <w:left w:val="single" w:color="000000" w:sz="4" w:space="0"/>
              <w:bottom w:val="single" w:color="000000" w:sz="4" w:space="0"/>
              <w:right w:val="single" w:color="000000" w:sz="8"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人口密度低</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000000" w:sz="4" w:space="0"/>
              <w:left w:val="single" w:color="000000" w:sz="8"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3.9817%</w:t>
            </w:r>
          </w:p>
        </w:tc>
        <w:tc>
          <w:tcPr>
            <w:tcW w:w="1521"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1.9909%</w:t>
            </w:r>
          </w:p>
        </w:tc>
        <w:tc>
          <w:tcPr>
            <w:tcW w:w="1524"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-1.9913%</w:t>
            </w:r>
          </w:p>
        </w:tc>
        <w:tc>
          <w:tcPr>
            <w:tcW w:w="1527"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-3.9827%</w:t>
            </w:r>
          </w:p>
        </w:tc>
      </w:tr>
      <w:tr>
        <w:tblPrEx>
          <w:tblLayout w:type="fixed"/>
          <w:tblCellMar>
            <w:top w:w="0" w:type="dxa"/>
            <w:left w:w="108" w:type="dxa"/>
            <w:bottom w:w="0" w:type="dxa"/>
            <w:right w:w="108" w:type="dxa"/>
          </w:tblCellMar>
        </w:tblPrEx>
        <w:trPr>
          <w:trHeight w:val="270" w:hRule="atLeast"/>
          <w:jc w:val="center"/>
        </w:trPr>
        <w:tc>
          <w:tcPr>
            <w:tcW w:w="1662" w:type="dxa"/>
            <w:tcBorders>
              <w:top w:val="single" w:color="000000" w:sz="8" w:space="0"/>
              <w:left w:val="single" w:color="000000" w:sz="8"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城镇规划</w:t>
            </w:r>
          </w:p>
        </w:tc>
        <w:tc>
          <w:tcPr>
            <w:tcW w:w="1521"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规划前景好</w:t>
            </w:r>
          </w:p>
        </w:tc>
        <w:tc>
          <w:tcPr>
            <w:tcW w:w="1521"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规划前景较好</w:t>
            </w:r>
          </w:p>
        </w:tc>
        <w:tc>
          <w:tcPr>
            <w:tcW w:w="1524"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规划前景一般</w:t>
            </w:r>
          </w:p>
        </w:tc>
        <w:tc>
          <w:tcPr>
            <w:tcW w:w="1524"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规划前景较差</w:t>
            </w:r>
          </w:p>
        </w:tc>
        <w:tc>
          <w:tcPr>
            <w:tcW w:w="1527" w:type="dxa"/>
            <w:tcBorders>
              <w:top w:val="single" w:color="000000" w:sz="8" w:space="0"/>
              <w:left w:val="single" w:color="000000" w:sz="4" w:space="0"/>
              <w:bottom w:val="single" w:color="000000" w:sz="4" w:space="0"/>
              <w:right w:val="single" w:color="000000" w:sz="8"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规划前景差</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000000" w:sz="4" w:space="0"/>
              <w:left w:val="single" w:color="000000" w:sz="8"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3.2569%</w:t>
            </w:r>
          </w:p>
        </w:tc>
        <w:tc>
          <w:tcPr>
            <w:tcW w:w="1521"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1.6285%</w:t>
            </w:r>
          </w:p>
        </w:tc>
        <w:tc>
          <w:tcPr>
            <w:tcW w:w="1524"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-1.6288%</w:t>
            </w:r>
          </w:p>
        </w:tc>
        <w:tc>
          <w:tcPr>
            <w:tcW w:w="1527"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-3.2577%</w:t>
            </w:r>
          </w:p>
        </w:tc>
      </w:tr>
    </w:tbl>
    <w:p>
      <w:pPr>
        <w:spacing w:line="60" w:lineRule="exact"/>
        <w:ind w:firstLine="560"/>
      </w:pP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商服用地区域因素修正系数表（三级）</w:t>
      </w:r>
    </w:p>
    <w:tbl>
      <w:tblPr>
        <w:tblStyle w:val="47"/>
        <w:tblW w:w="9279" w:type="dxa"/>
        <w:jc w:val="center"/>
        <w:tblInd w:w="0" w:type="dxa"/>
        <w:tblLayout w:type="fixed"/>
        <w:tblCellMar>
          <w:top w:w="0" w:type="dxa"/>
          <w:left w:w="108" w:type="dxa"/>
          <w:bottom w:w="0" w:type="dxa"/>
          <w:right w:w="108" w:type="dxa"/>
        </w:tblCellMar>
      </w:tblPr>
      <w:tblGrid>
        <w:gridCol w:w="1662"/>
        <w:gridCol w:w="1521"/>
        <w:gridCol w:w="1521"/>
        <w:gridCol w:w="1524"/>
        <w:gridCol w:w="1524"/>
        <w:gridCol w:w="1527"/>
      </w:tblGrid>
      <w:tr>
        <w:tblPrEx>
          <w:tblLayout w:type="fixed"/>
          <w:tblCellMar>
            <w:top w:w="0" w:type="dxa"/>
            <w:left w:w="108" w:type="dxa"/>
            <w:bottom w:w="0" w:type="dxa"/>
            <w:right w:w="108" w:type="dxa"/>
          </w:tblCellMar>
        </w:tblPrEx>
        <w:trPr>
          <w:trHeight w:val="285" w:hRule="atLeast"/>
          <w:tblHeader/>
          <w:jc w:val="center"/>
        </w:trPr>
        <w:tc>
          <w:tcPr>
            <w:tcW w:w="1662" w:type="dxa"/>
            <w:tcBorders>
              <w:top w:val="single" w:color="auto" w:sz="4" w:space="0"/>
              <w:left w:val="single" w:color="000000" w:sz="8"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因素/优劣度</w:t>
            </w:r>
          </w:p>
        </w:tc>
        <w:tc>
          <w:tcPr>
            <w:tcW w:w="1521" w:type="dxa"/>
            <w:tcBorders>
              <w:top w:val="single" w:color="auto"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优</w:t>
            </w:r>
          </w:p>
        </w:tc>
        <w:tc>
          <w:tcPr>
            <w:tcW w:w="1521" w:type="dxa"/>
            <w:tcBorders>
              <w:top w:val="single" w:color="auto"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较优</w:t>
            </w:r>
          </w:p>
        </w:tc>
        <w:tc>
          <w:tcPr>
            <w:tcW w:w="1524" w:type="dxa"/>
            <w:tcBorders>
              <w:top w:val="single" w:color="auto"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一般</w:t>
            </w:r>
          </w:p>
        </w:tc>
        <w:tc>
          <w:tcPr>
            <w:tcW w:w="1524" w:type="dxa"/>
            <w:tcBorders>
              <w:top w:val="single" w:color="auto"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较劣</w:t>
            </w:r>
          </w:p>
        </w:tc>
        <w:tc>
          <w:tcPr>
            <w:tcW w:w="1527" w:type="dxa"/>
            <w:tcBorders>
              <w:top w:val="single" w:color="auto" w:sz="4" w:space="0"/>
              <w:left w:val="single" w:color="000000" w:sz="4" w:space="0"/>
              <w:bottom w:val="single" w:color="000000" w:sz="8" w:space="0"/>
              <w:right w:val="single" w:color="000000" w:sz="8"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劣</w:t>
            </w:r>
          </w:p>
        </w:tc>
      </w:tr>
      <w:tr>
        <w:tblPrEx>
          <w:tblLayout w:type="fixed"/>
          <w:tblCellMar>
            <w:top w:w="0" w:type="dxa"/>
            <w:left w:w="108" w:type="dxa"/>
            <w:bottom w:w="0" w:type="dxa"/>
            <w:right w:w="108" w:type="dxa"/>
          </w:tblCellMar>
        </w:tblPrEx>
        <w:trPr>
          <w:trHeight w:val="1350" w:hRule="atLeast"/>
          <w:jc w:val="center"/>
        </w:trPr>
        <w:tc>
          <w:tcPr>
            <w:tcW w:w="1662" w:type="dxa"/>
            <w:tcBorders>
              <w:top w:val="single" w:color="000000" w:sz="8" w:space="0"/>
              <w:left w:val="single" w:color="000000" w:sz="8"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繁华程度</w:t>
            </w:r>
          </w:p>
        </w:tc>
        <w:tc>
          <w:tcPr>
            <w:tcW w:w="1521"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距商服中心近、在农贸市场、大型宾馆区范围内，人流畅旺</w:t>
            </w:r>
          </w:p>
        </w:tc>
        <w:tc>
          <w:tcPr>
            <w:tcW w:w="1521"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距商服中心较近、离集贸市场、宾馆区较近，人流较畅旺</w:t>
            </w:r>
          </w:p>
        </w:tc>
        <w:tc>
          <w:tcPr>
            <w:tcW w:w="1524"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距商服中心有一定距离，与集贸市场、宾馆距离一般、人流量一般</w:t>
            </w:r>
          </w:p>
        </w:tc>
        <w:tc>
          <w:tcPr>
            <w:tcW w:w="1524"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距商服中心较远，所在地区商业气氛平淡，人流较少</w:t>
            </w:r>
          </w:p>
        </w:tc>
        <w:tc>
          <w:tcPr>
            <w:tcW w:w="1527" w:type="dxa"/>
            <w:tcBorders>
              <w:top w:val="single" w:color="000000" w:sz="8" w:space="0"/>
              <w:left w:val="single" w:color="000000" w:sz="4" w:space="0"/>
              <w:bottom w:val="single" w:color="000000" w:sz="4" w:space="0"/>
              <w:right w:val="single" w:color="000000" w:sz="8"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距商服中心远，独立、小型、零星的商业用地</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000000" w:sz="4" w:space="0"/>
              <w:left w:val="single" w:color="000000" w:sz="8"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7.5232%</w:t>
            </w:r>
          </w:p>
        </w:tc>
        <w:tc>
          <w:tcPr>
            <w:tcW w:w="1521"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3.7616%</w:t>
            </w:r>
          </w:p>
        </w:tc>
        <w:tc>
          <w:tcPr>
            <w:tcW w:w="1524"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-3.0314%</w:t>
            </w:r>
          </w:p>
        </w:tc>
        <w:tc>
          <w:tcPr>
            <w:tcW w:w="1527"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-6.0628%</w:t>
            </w:r>
          </w:p>
        </w:tc>
      </w:tr>
      <w:tr>
        <w:tblPrEx>
          <w:tblLayout w:type="fixed"/>
          <w:tblCellMar>
            <w:top w:w="0" w:type="dxa"/>
            <w:left w:w="108" w:type="dxa"/>
            <w:bottom w:w="0" w:type="dxa"/>
            <w:right w:w="108" w:type="dxa"/>
          </w:tblCellMar>
        </w:tblPrEx>
        <w:trPr>
          <w:trHeight w:val="1080" w:hRule="atLeast"/>
          <w:jc w:val="center"/>
        </w:trPr>
        <w:tc>
          <w:tcPr>
            <w:tcW w:w="1662" w:type="dxa"/>
            <w:tcBorders>
              <w:top w:val="single" w:color="000000" w:sz="8" w:space="0"/>
              <w:left w:val="single" w:color="000000" w:sz="8"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交通条件</w:t>
            </w:r>
          </w:p>
        </w:tc>
        <w:tc>
          <w:tcPr>
            <w:tcW w:w="1521"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道路通达度高、距长途汽车站近、交通方便</w:t>
            </w:r>
          </w:p>
        </w:tc>
        <w:tc>
          <w:tcPr>
            <w:tcW w:w="1521"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道路通达度较高、距长途汽车站较近，交通较方便</w:t>
            </w:r>
          </w:p>
        </w:tc>
        <w:tc>
          <w:tcPr>
            <w:tcW w:w="1524"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道路通达度一般、距长途汽车站距离一般，交通一般</w:t>
            </w:r>
          </w:p>
        </w:tc>
        <w:tc>
          <w:tcPr>
            <w:tcW w:w="1524"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道路通达度较低、距长途汽车站较远，交通较差</w:t>
            </w:r>
          </w:p>
        </w:tc>
        <w:tc>
          <w:tcPr>
            <w:tcW w:w="1527" w:type="dxa"/>
            <w:tcBorders>
              <w:top w:val="single" w:color="000000" w:sz="8" w:space="0"/>
              <w:left w:val="single" w:color="000000" w:sz="4" w:space="0"/>
              <w:bottom w:val="single" w:color="000000" w:sz="4" w:space="0"/>
              <w:right w:val="single" w:color="000000" w:sz="8"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道路通达度低、距长途汽车站远，交通不方便</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000000" w:sz="4" w:space="0"/>
              <w:left w:val="single" w:color="000000" w:sz="8"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5.6919%</w:t>
            </w:r>
          </w:p>
        </w:tc>
        <w:tc>
          <w:tcPr>
            <w:tcW w:w="1521"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2.8459%</w:t>
            </w:r>
          </w:p>
        </w:tc>
        <w:tc>
          <w:tcPr>
            <w:tcW w:w="1524"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-2.2935%</w:t>
            </w:r>
          </w:p>
        </w:tc>
        <w:tc>
          <w:tcPr>
            <w:tcW w:w="1527"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-4.5869%</w:t>
            </w:r>
          </w:p>
        </w:tc>
      </w:tr>
      <w:tr>
        <w:tblPrEx>
          <w:tblLayout w:type="fixed"/>
          <w:tblCellMar>
            <w:top w:w="0" w:type="dxa"/>
            <w:left w:w="108" w:type="dxa"/>
            <w:bottom w:w="0" w:type="dxa"/>
            <w:right w:w="108" w:type="dxa"/>
          </w:tblCellMar>
        </w:tblPrEx>
        <w:trPr>
          <w:trHeight w:val="2160" w:hRule="atLeast"/>
          <w:jc w:val="center"/>
        </w:trPr>
        <w:tc>
          <w:tcPr>
            <w:tcW w:w="1662" w:type="dxa"/>
            <w:tcBorders>
              <w:top w:val="single" w:color="000000" w:sz="8" w:space="0"/>
              <w:left w:val="single" w:color="000000" w:sz="8"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基本设施状况</w:t>
            </w:r>
          </w:p>
        </w:tc>
        <w:tc>
          <w:tcPr>
            <w:tcW w:w="1521"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市政供水，供电保证率高，排水状况好，周围学校、银行、邮电局（所）、医院等生活设施配套完备</w:t>
            </w:r>
          </w:p>
        </w:tc>
        <w:tc>
          <w:tcPr>
            <w:tcW w:w="1521"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市政供水，供电保证率较高，排水状况较好，周围学校、银行、邮电局（所）、医院等生活设施配套较完备</w:t>
            </w:r>
          </w:p>
        </w:tc>
        <w:tc>
          <w:tcPr>
            <w:tcW w:w="1524"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市政供水，供电保证率一般，排水状况一般，周围学校、银行、邮电局（所）、医院等生活设施配套一般</w:t>
            </w:r>
          </w:p>
        </w:tc>
        <w:tc>
          <w:tcPr>
            <w:tcW w:w="1524"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市政供水，供电保证率较低，排水状况较差，离学校、银行、邮电局（所）、医院等生活设施有一定的距离</w:t>
            </w:r>
          </w:p>
        </w:tc>
        <w:tc>
          <w:tcPr>
            <w:tcW w:w="1527" w:type="dxa"/>
            <w:tcBorders>
              <w:top w:val="single" w:color="000000" w:sz="8" w:space="0"/>
              <w:left w:val="single" w:color="000000" w:sz="4" w:space="0"/>
              <w:bottom w:val="single" w:color="000000" w:sz="4" w:space="0"/>
              <w:right w:val="single" w:color="000000" w:sz="8"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市政供水，供电保证率低，排水状况差，离学校、银行、邮电局（所）、医院较远，生活设施配套不完备</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000000" w:sz="4" w:space="0"/>
              <w:left w:val="single" w:color="000000" w:sz="8"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5.5128%</w:t>
            </w:r>
          </w:p>
        </w:tc>
        <w:tc>
          <w:tcPr>
            <w:tcW w:w="1521"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2.7564%</w:t>
            </w:r>
          </w:p>
        </w:tc>
        <w:tc>
          <w:tcPr>
            <w:tcW w:w="1524"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-2.2213%</w:t>
            </w:r>
          </w:p>
        </w:tc>
        <w:tc>
          <w:tcPr>
            <w:tcW w:w="1527"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-4.4426%</w:t>
            </w:r>
          </w:p>
        </w:tc>
      </w:tr>
      <w:tr>
        <w:tblPrEx>
          <w:tblLayout w:type="fixed"/>
          <w:tblCellMar>
            <w:top w:w="0" w:type="dxa"/>
            <w:left w:w="108" w:type="dxa"/>
            <w:bottom w:w="0" w:type="dxa"/>
            <w:right w:w="108" w:type="dxa"/>
          </w:tblCellMar>
        </w:tblPrEx>
        <w:trPr>
          <w:trHeight w:val="270" w:hRule="atLeast"/>
          <w:jc w:val="center"/>
        </w:trPr>
        <w:tc>
          <w:tcPr>
            <w:tcW w:w="1662" w:type="dxa"/>
            <w:tcBorders>
              <w:top w:val="single" w:color="000000" w:sz="8" w:space="0"/>
              <w:left w:val="single" w:color="000000" w:sz="8"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人口状况</w:t>
            </w:r>
          </w:p>
        </w:tc>
        <w:tc>
          <w:tcPr>
            <w:tcW w:w="1521"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人口密度高</w:t>
            </w:r>
          </w:p>
        </w:tc>
        <w:tc>
          <w:tcPr>
            <w:tcW w:w="1521"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人口密度较高</w:t>
            </w:r>
          </w:p>
        </w:tc>
        <w:tc>
          <w:tcPr>
            <w:tcW w:w="1524"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人口密度一般</w:t>
            </w:r>
          </w:p>
        </w:tc>
        <w:tc>
          <w:tcPr>
            <w:tcW w:w="1524"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人口密度较低</w:t>
            </w:r>
          </w:p>
        </w:tc>
        <w:tc>
          <w:tcPr>
            <w:tcW w:w="1527" w:type="dxa"/>
            <w:tcBorders>
              <w:top w:val="single" w:color="000000" w:sz="8" w:space="0"/>
              <w:left w:val="single" w:color="000000" w:sz="4" w:space="0"/>
              <w:bottom w:val="single" w:color="000000" w:sz="4" w:space="0"/>
              <w:right w:val="single" w:color="000000" w:sz="8"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人口密度低</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000000" w:sz="4" w:space="0"/>
              <w:left w:val="single" w:color="000000" w:sz="8"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4.4059%</w:t>
            </w:r>
          </w:p>
        </w:tc>
        <w:tc>
          <w:tcPr>
            <w:tcW w:w="1521"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2.2030%</w:t>
            </w:r>
          </w:p>
        </w:tc>
        <w:tc>
          <w:tcPr>
            <w:tcW w:w="1524"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-1.7753%</w:t>
            </w:r>
          </w:p>
        </w:tc>
        <w:tc>
          <w:tcPr>
            <w:tcW w:w="1527"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-3.5506%</w:t>
            </w:r>
          </w:p>
        </w:tc>
      </w:tr>
      <w:tr>
        <w:tblPrEx>
          <w:tblLayout w:type="fixed"/>
          <w:tblCellMar>
            <w:top w:w="0" w:type="dxa"/>
            <w:left w:w="108" w:type="dxa"/>
            <w:bottom w:w="0" w:type="dxa"/>
            <w:right w:w="108" w:type="dxa"/>
          </w:tblCellMar>
        </w:tblPrEx>
        <w:trPr>
          <w:trHeight w:val="270" w:hRule="atLeast"/>
          <w:jc w:val="center"/>
        </w:trPr>
        <w:tc>
          <w:tcPr>
            <w:tcW w:w="1662" w:type="dxa"/>
            <w:tcBorders>
              <w:top w:val="single" w:color="000000" w:sz="8" w:space="0"/>
              <w:left w:val="single" w:color="000000" w:sz="8"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城镇规划</w:t>
            </w:r>
          </w:p>
        </w:tc>
        <w:tc>
          <w:tcPr>
            <w:tcW w:w="1521"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规划前景好</w:t>
            </w:r>
          </w:p>
        </w:tc>
        <w:tc>
          <w:tcPr>
            <w:tcW w:w="1521"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规划前景较好</w:t>
            </w:r>
          </w:p>
        </w:tc>
        <w:tc>
          <w:tcPr>
            <w:tcW w:w="1524"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规划前景一般</w:t>
            </w:r>
          </w:p>
        </w:tc>
        <w:tc>
          <w:tcPr>
            <w:tcW w:w="1524"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规划前景较差</w:t>
            </w:r>
          </w:p>
        </w:tc>
        <w:tc>
          <w:tcPr>
            <w:tcW w:w="1527" w:type="dxa"/>
            <w:tcBorders>
              <w:top w:val="single" w:color="000000" w:sz="8" w:space="0"/>
              <w:left w:val="single" w:color="000000" w:sz="4" w:space="0"/>
              <w:bottom w:val="single" w:color="000000" w:sz="4" w:space="0"/>
              <w:right w:val="single" w:color="000000" w:sz="8"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规划前景差</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000000" w:sz="4" w:space="0"/>
              <w:left w:val="single" w:color="000000" w:sz="8"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3.6039%</w:t>
            </w:r>
          </w:p>
        </w:tc>
        <w:tc>
          <w:tcPr>
            <w:tcW w:w="1521"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1.8019%</w:t>
            </w:r>
          </w:p>
        </w:tc>
        <w:tc>
          <w:tcPr>
            <w:tcW w:w="1524"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-1.4521%</w:t>
            </w:r>
          </w:p>
        </w:tc>
        <w:tc>
          <w:tcPr>
            <w:tcW w:w="1527"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-2.9043%</w:t>
            </w:r>
          </w:p>
        </w:tc>
      </w:tr>
    </w:tbl>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商服用地区域因素修正系数表（四级）</w:t>
      </w:r>
    </w:p>
    <w:tbl>
      <w:tblPr>
        <w:tblStyle w:val="47"/>
        <w:tblW w:w="9312" w:type="dxa"/>
        <w:jc w:val="center"/>
        <w:tblInd w:w="0" w:type="dxa"/>
        <w:tblLayout w:type="fixed"/>
        <w:tblCellMar>
          <w:top w:w="0" w:type="dxa"/>
          <w:left w:w="108" w:type="dxa"/>
          <w:bottom w:w="0" w:type="dxa"/>
          <w:right w:w="108" w:type="dxa"/>
        </w:tblCellMar>
      </w:tblPr>
      <w:tblGrid>
        <w:gridCol w:w="1662"/>
        <w:gridCol w:w="1530"/>
        <w:gridCol w:w="1530"/>
        <w:gridCol w:w="1530"/>
        <w:gridCol w:w="1530"/>
        <w:gridCol w:w="1530"/>
      </w:tblGrid>
      <w:tr>
        <w:tblPrEx>
          <w:tblLayout w:type="fixed"/>
          <w:tblCellMar>
            <w:top w:w="0" w:type="dxa"/>
            <w:left w:w="108" w:type="dxa"/>
            <w:bottom w:w="0" w:type="dxa"/>
            <w:right w:w="108" w:type="dxa"/>
          </w:tblCellMar>
        </w:tblPrEx>
        <w:trPr>
          <w:trHeight w:val="285" w:hRule="atLeast"/>
          <w:tblHeader/>
          <w:jc w:val="center"/>
        </w:trPr>
        <w:tc>
          <w:tcPr>
            <w:tcW w:w="1662" w:type="dxa"/>
            <w:tcBorders>
              <w:top w:val="single" w:color="auto" w:sz="4" w:space="0"/>
              <w:left w:val="single" w:color="000000" w:sz="8"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因素/优劣度</w:t>
            </w:r>
          </w:p>
        </w:tc>
        <w:tc>
          <w:tcPr>
            <w:tcW w:w="1530" w:type="dxa"/>
            <w:tcBorders>
              <w:top w:val="single" w:color="auto"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优</w:t>
            </w:r>
          </w:p>
        </w:tc>
        <w:tc>
          <w:tcPr>
            <w:tcW w:w="1530" w:type="dxa"/>
            <w:tcBorders>
              <w:top w:val="single" w:color="auto"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较优</w:t>
            </w:r>
          </w:p>
        </w:tc>
        <w:tc>
          <w:tcPr>
            <w:tcW w:w="1530" w:type="dxa"/>
            <w:tcBorders>
              <w:top w:val="single" w:color="auto"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一般</w:t>
            </w:r>
          </w:p>
        </w:tc>
        <w:tc>
          <w:tcPr>
            <w:tcW w:w="1530" w:type="dxa"/>
            <w:tcBorders>
              <w:top w:val="single" w:color="auto"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较劣</w:t>
            </w:r>
          </w:p>
        </w:tc>
        <w:tc>
          <w:tcPr>
            <w:tcW w:w="1530" w:type="dxa"/>
            <w:tcBorders>
              <w:top w:val="single" w:color="auto" w:sz="4" w:space="0"/>
              <w:left w:val="single" w:color="000000" w:sz="4" w:space="0"/>
              <w:bottom w:val="single" w:color="000000" w:sz="8" w:space="0"/>
              <w:right w:val="single" w:color="000000" w:sz="8"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劣</w:t>
            </w:r>
          </w:p>
        </w:tc>
      </w:tr>
      <w:tr>
        <w:tblPrEx>
          <w:tblLayout w:type="fixed"/>
          <w:tblCellMar>
            <w:top w:w="0" w:type="dxa"/>
            <w:left w:w="108" w:type="dxa"/>
            <w:bottom w:w="0" w:type="dxa"/>
            <w:right w:w="108" w:type="dxa"/>
          </w:tblCellMar>
        </w:tblPrEx>
        <w:trPr>
          <w:trHeight w:val="365" w:hRule="atLeast"/>
          <w:jc w:val="center"/>
        </w:trPr>
        <w:tc>
          <w:tcPr>
            <w:tcW w:w="1662" w:type="dxa"/>
            <w:tcBorders>
              <w:top w:val="single" w:color="000000" w:sz="8" w:space="0"/>
              <w:left w:val="single" w:color="000000" w:sz="8"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繁华程度</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距商服中心近、在农贸市场、大型宾馆区范围内，人流畅旺</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距商服中心较近、离集贸市场、宾馆区较近，人流较畅旺</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距商服中心有一定距离，与集贸市场、宾馆距离一般、人流量一般</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距商服中心较远，所在地区商业气氛平淡，人流较少</w:t>
            </w:r>
          </w:p>
        </w:tc>
        <w:tc>
          <w:tcPr>
            <w:tcW w:w="1530" w:type="dxa"/>
            <w:tcBorders>
              <w:top w:val="single" w:color="000000" w:sz="8" w:space="0"/>
              <w:left w:val="single" w:color="000000" w:sz="4" w:space="0"/>
              <w:bottom w:val="single" w:color="000000" w:sz="4" w:space="0"/>
              <w:right w:val="single" w:color="000000" w:sz="8"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距商服中心远，独立、小型、零星的商业用地</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000000" w:sz="4" w:space="0"/>
              <w:left w:val="single" w:color="000000" w:sz="8"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6.8600%</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3.4300%</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-2.8420%</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-5.6840%</w:t>
            </w:r>
          </w:p>
        </w:tc>
      </w:tr>
      <w:tr>
        <w:tblPrEx>
          <w:tblLayout w:type="fixed"/>
          <w:tblCellMar>
            <w:top w:w="0" w:type="dxa"/>
            <w:left w:w="108" w:type="dxa"/>
            <w:bottom w:w="0" w:type="dxa"/>
            <w:right w:w="108" w:type="dxa"/>
          </w:tblCellMar>
        </w:tblPrEx>
        <w:trPr>
          <w:trHeight w:val="1080" w:hRule="atLeast"/>
          <w:jc w:val="center"/>
        </w:trPr>
        <w:tc>
          <w:tcPr>
            <w:tcW w:w="1662" w:type="dxa"/>
            <w:tcBorders>
              <w:top w:val="single" w:color="000000" w:sz="8" w:space="0"/>
              <w:left w:val="single" w:color="000000" w:sz="8"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交通条件</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道路通达度高、距长途汽车站近、交通方便</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道路通达度较高、距长途汽车站较近，交通较方便</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道路通达度一般、距长途汽车站距离一般，交通一般</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道路通达度较低、距长途汽车站较远，交通较差</w:t>
            </w:r>
          </w:p>
        </w:tc>
        <w:tc>
          <w:tcPr>
            <w:tcW w:w="1530" w:type="dxa"/>
            <w:tcBorders>
              <w:top w:val="single" w:color="000000" w:sz="8" w:space="0"/>
              <w:left w:val="single" w:color="000000" w:sz="4" w:space="0"/>
              <w:bottom w:val="single" w:color="000000" w:sz="4" w:space="0"/>
              <w:right w:val="single" w:color="000000" w:sz="8"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道路通达度低、距长途汽车站远，交通不方便</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000000" w:sz="4" w:space="0"/>
              <w:left w:val="single" w:color="000000" w:sz="8"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5.1901%</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2.5950%</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-2.1502%</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-4.3004%</w:t>
            </w:r>
          </w:p>
        </w:tc>
      </w:tr>
      <w:tr>
        <w:tblPrEx>
          <w:tblLayout w:type="fixed"/>
          <w:tblCellMar>
            <w:top w:w="0" w:type="dxa"/>
            <w:left w:w="108" w:type="dxa"/>
            <w:bottom w:w="0" w:type="dxa"/>
            <w:right w:w="108" w:type="dxa"/>
          </w:tblCellMar>
        </w:tblPrEx>
        <w:trPr>
          <w:trHeight w:val="281" w:hRule="atLeast"/>
          <w:jc w:val="center"/>
        </w:trPr>
        <w:tc>
          <w:tcPr>
            <w:tcW w:w="1662" w:type="dxa"/>
            <w:tcBorders>
              <w:top w:val="single" w:color="000000" w:sz="8" w:space="0"/>
              <w:left w:val="single" w:color="000000" w:sz="8"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基本设施状况</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市政供水，供电保证率高，排水状况好，周围学校、银行、邮电局（所）、医院等生活设施配套完备</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市政供水，供电保证率较高，排水状况较好，周围学校、银行、邮电局（所）、医院等生活设施配套较完备</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市政供水，供电保证率一般，排水状况一般，周围学校、银行、邮电局（所）、医院等生活设施配套一般</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市政供水，供电保证率较低，排水状况较差，离学校、银行、邮电局（所）、医院等生活设施有一定的距离</w:t>
            </w:r>
          </w:p>
        </w:tc>
        <w:tc>
          <w:tcPr>
            <w:tcW w:w="1530" w:type="dxa"/>
            <w:tcBorders>
              <w:top w:val="single" w:color="000000" w:sz="8" w:space="0"/>
              <w:left w:val="single" w:color="000000" w:sz="4" w:space="0"/>
              <w:bottom w:val="single" w:color="000000" w:sz="4" w:space="0"/>
              <w:right w:val="single" w:color="000000" w:sz="8"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市政供水，供电保证率低，排水状况差，离学校、银行、邮电局（所）、医院较远，生活设施配套不完备</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000000" w:sz="4" w:space="0"/>
              <w:left w:val="single" w:color="000000" w:sz="8"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5.0268%</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2.5134%</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-2.0825%</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-4.1650%</w:t>
            </w:r>
          </w:p>
        </w:tc>
      </w:tr>
      <w:tr>
        <w:tblPrEx>
          <w:tblLayout w:type="fixed"/>
          <w:tblCellMar>
            <w:top w:w="0" w:type="dxa"/>
            <w:left w:w="108" w:type="dxa"/>
            <w:bottom w:w="0" w:type="dxa"/>
            <w:right w:w="108" w:type="dxa"/>
          </w:tblCellMar>
        </w:tblPrEx>
        <w:trPr>
          <w:trHeight w:val="270" w:hRule="atLeast"/>
          <w:jc w:val="center"/>
        </w:trPr>
        <w:tc>
          <w:tcPr>
            <w:tcW w:w="1662" w:type="dxa"/>
            <w:tcBorders>
              <w:top w:val="single" w:color="000000" w:sz="8" w:space="0"/>
              <w:left w:val="single" w:color="000000" w:sz="8"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人口状况</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人口密度高</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人口密度较高</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人口密度一般</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人口密度较低</w:t>
            </w:r>
          </w:p>
        </w:tc>
        <w:tc>
          <w:tcPr>
            <w:tcW w:w="1530" w:type="dxa"/>
            <w:tcBorders>
              <w:top w:val="single" w:color="000000" w:sz="8" w:space="0"/>
              <w:left w:val="single" w:color="000000" w:sz="4" w:space="0"/>
              <w:bottom w:val="single" w:color="000000" w:sz="4" w:space="0"/>
              <w:right w:val="single" w:color="000000" w:sz="8"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人口密度低</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000000" w:sz="4" w:space="0"/>
              <w:left w:val="single" w:color="000000" w:sz="8"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4.0175%</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2.0088%</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-1.6644%</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-3.3288%</w:t>
            </w:r>
          </w:p>
        </w:tc>
      </w:tr>
      <w:tr>
        <w:tblPrEx>
          <w:tblLayout w:type="fixed"/>
          <w:tblCellMar>
            <w:top w:w="0" w:type="dxa"/>
            <w:left w:w="108" w:type="dxa"/>
            <w:bottom w:w="0" w:type="dxa"/>
            <w:right w:w="108" w:type="dxa"/>
          </w:tblCellMar>
        </w:tblPrEx>
        <w:trPr>
          <w:trHeight w:val="270" w:hRule="atLeast"/>
          <w:jc w:val="center"/>
        </w:trPr>
        <w:tc>
          <w:tcPr>
            <w:tcW w:w="1662" w:type="dxa"/>
            <w:tcBorders>
              <w:top w:val="single" w:color="000000" w:sz="8" w:space="0"/>
              <w:left w:val="single" w:color="000000" w:sz="8"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城镇规划</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规划前景好</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规划前景较好</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规划前景一般</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规划前景较差</w:t>
            </w:r>
          </w:p>
        </w:tc>
        <w:tc>
          <w:tcPr>
            <w:tcW w:w="1530" w:type="dxa"/>
            <w:tcBorders>
              <w:top w:val="single" w:color="000000" w:sz="8" w:space="0"/>
              <w:left w:val="single" w:color="000000" w:sz="4" w:space="0"/>
              <w:bottom w:val="single" w:color="000000" w:sz="4" w:space="0"/>
              <w:right w:val="single" w:color="000000" w:sz="8"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规划前景差</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000000" w:sz="4" w:space="0"/>
              <w:left w:val="single" w:color="000000" w:sz="8"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3.2862%</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1.6431%</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-1.3614%</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-2.7228%</w:t>
            </w:r>
          </w:p>
        </w:tc>
      </w:tr>
    </w:tbl>
    <w:p>
      <w:pPr>
        <w:spacing w:line="60" w:lineRule="exact"/>
        <w:ind w:firstLine="560"/>
      </w:pP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商服用地区域因素修正系数表（五级）</w:t>
      </w:r>
    </w:p>
    <w:tbl>
      <w:tblPr>
        <w:tblStyle w:val="47"/>
        <w:tblW w:w="9312" w:type="dxa"/>
        <w:jc w:val="center"/>
        <w:tblInd w:w="0" w:type="dxa"/>
        <w:tblLayout w:type="fixed"/>
        <w:tblCellMar>
          <w:top w:w="0" w:type="dxa"/>
          <w:left w:w="108" w:type="dxa"/>
          <w:bottom w:w="0" w:type="dxa"/>
          <w:right w:w="108" w:type="dxa"/>
        </w:tblCellMar>
      </w:tblPr>
      <w:tblGrid>
        <w:gridCol w:w="1662"/>
        <w:gridCol w:w="1530"/>
        <w:gridCol w:w="1530"/>
        <w:gridCol w:w="1530"/>
        <w:gridCol w:w="1530"/>
        <w:gridCol w:w="1530"/>
      </w:tblGrid>
      <w:tr>
        <w:tblPrEx>
          <w:tblLayout w:type="fixed"/>
          <w:tblCellMar>
            <w:top w:w="0" w:type="dxa"/>
            <w:left w:w="108" w:type="dxa"/>
            <w:bottom w:w="0" w:type="dxa"/>
            <w:right w:w="108" w:type="dxa"/>
          </w:tblCellMar>
        </w:tblPrEx>
        <w:trPr>
          <w:trHeight w:val="285" w:hRule="atLeast"/>
          <w:tblHeader/>
          <w:jc w:val="center"/>
        </w:trPr>
        <w:tc>
          <w:tcPr>
            <w:tcW w:w="1662" w:type="dxa"/>
            <w:tcBorders>
              <w:top w:val="single" w:color="auto" w:sz="4" w:space="0"/>
              <w:left w:val="single" w:color="000000" w:sz="8"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因素/优劣度</w:t>
            </w:r>
          </w:p>
        </w:tc>
        <w:tc>
          <w:tcPr>
            <w:tcW w:w="1530" w:type="dxa"/>
            <w:tcBorders>
              <w:top w:val="single" w:color="auto"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优</w:t>
            </w:r>
          </w:p>
        </w:tc>
        <w:tc>
          <w:tcPr>
            <w:tcW w:w="1530" w:type="dxa"/>
            <w:tcBorders>
              <w:top w:val="single" w:color="auto"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较优</w:t>
            </w:r>
          </w:p>
        </w:tc>
        <w:tc>
          <w:tcPr>
            <w:tcW w:w="1530" w:type="dxa"/>
            <w:tcBorders>
              <w:top w:val="single" w:color="auto"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一般</w:t>
            </w:r>
          </w:p>
        </w:tc>
        <w:tc>
          <w:tcPr>
            <w:tcW w:w="1530" w:type="dxa"/>
            <w:tcBorders>
              <w:top w:val="single" w:color="auto"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较劣</w:t>
            </w:r>
          </w:p>
        </w:tc>
        <w:tc>
          <w:tcPr>
            <w:tcW w:w="1530" w:type="dxa"/>
            <w:tcBorders>
              <w:top w:val="single" w:color="auto" w:sz="4" w:space="0"/>
              <w:left w:val="single" w:color="000000" w:sz="4" w:space="0"/>
              <w:bottom w:val="single" w:color="000000" w:sz="8" w:space="0"/>
              <w:right w:val="single" w:color="000000" w:sz="8"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劣</w:t>
            </w:r>
          </w:p>
        </w:tc>
      </w:tr>
      <w:tr>
        <w:tblPrEx>
          <w:tblLayout w:type="fixed"/>
          <w:tblCellMar>
            <w:top w:w="0" w:type="dxa"/>
            <w:left w:w="108" w:type="dxa"/>
            <w:bottom w:w="0" w:type="dxa"/>
            <w:right w:w="108" w:type="dxa"/>
          </w:tblCellMar>
        </w:tblPrEx>
        <w:trPr>
          <w:trHeight w:val="1350" w:hRule="atLeast"/>
          <w:jc w:val="center"/>
        </w:trPr>
        <w:tc>
          <w:tcPr>
            <w:tcW w:w="1662" w:type="dxa"/>
            <w:tcBorders>
              <w:top w:val="single" w:color="000000" w:sz="8" w:space="0"/>
              <w:left w:val="single" w:color="000000" w:sz="8"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繁华程度</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距商服中心近、在农贸市场、大型宾馆区范围内，人流畅旺</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距商服中心较近、离集贸市场、宾馆区较近，人流较畅旺</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距商服中心有一定距离，与集贸市场、宾馆距离一般、人流量一般</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距商服中心较远，所在地区商业气氛平淡，人流较少</w:t>
            </w:r>
          </w:p>
        </w:tc>
        <w:tc>
          <w:tcPr>
            <w:tcW w:w="1530" w:type="dxa"/>
            <w:tcBorders>
              <w:top w:val="single" w:color="000000" w:sz="8" w:space="0"/>
              <w:left w:val="single" w:color="000000" w:sz="4" w:space="0"/>
              <w:bottom w:val="single" w:color="000000" w:sz="4" w:space="0"/>
              <w:right w:val="single" w:color="000000" w:sz="8"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距商服中心远，独立、小型、零星的商业用地</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000000" w:sz="4" w:space="0"/>
              <w:left w:val="single" w:color="000000" w:sz="8"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6.4938%</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3.2469%</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-2.8862%</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-5.7723%</w:t>
            </w:r>
          </w:p>
        </w:tc>
      </w:tr>
      <w:tr>
        <w:tblPrEx>
          <w:tblLayout w:type="fixed"/>
          <w:tblCellMar>
            <w:top w:w="0" w:type="dxa"/>
            <w:left w:w="108" w:type="dxa"/>
            <w:bottom w:w="0" w:type="dxa"/>
            <w:right w:w="108" w:type="dxa"/>
          </w:tblCellMar>
        </w:tblPrEx>
        <w:trPr>
          <w:trHeight w:val="1080" w:hRule="atLeast"/>
          <w:jc w:val="center"/>
        </w:trPr>
        <w:tc>
          <w:tcPr>
            <w:tcW w:w="1662" w:type="dxa"/>
            <w:tcBorders>
              <w:top w:val="single" w:color="000000" w:sz="8" w:space="0"/>
              <w:left w:val="single" w:color="000000" w:sz="8"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交通条件</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道路通达度高、距长途汽车站近、交通方便</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道路通达度较高、距长途汽车站较近，交通较方便</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道路通达度一般、距长途汽车站距离一般，交通一般</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道路通达度较低、距长途汽车站较远，交通较差</w:t>
            </w:r>
          </w:p>
        </w:tc>
        <w:tc>
          <w:tcPr>
            <w:tcW w:w="1530" w:type="dxa"/>
            <w:tcBorders>
              <w:top w:val="single" w:color="000000" w:sz="8" w:space="0"/>
              <w:left w:val="single" w:color="000000" w:sz="4" w:space="0"/>
              <w:bottom w:val="single" w:color="000000" w:sz="4" w:space="0"/>
              <w:right w:val="single" w:color="000000" w:sz="8"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道路通达度低、距长途汽车站远，交通不方便</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000000" w:sz="4" w:space="0"/>
              <w:left w:val="single" w:color="000000" w:sz="8"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4.9131%</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2.4565%</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-2.1836%</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-4.3672%</w:t>
            </w:r>
          </w:p>
        </w:tc>
      </w:tr>
      <w:tr>
        <w:tblPrEx>
          <w:tblLayout w:type="fixed"/>
          <w:tblCellMar>
            <w:top w:w="0" w:type="dxa"/>
            <w:left w:w="108" w:type="dxa"/>
            <w:bottom w:w="0" w:type="dxa"/>
            <w:right w:w="108" w:type="dxa"/>
          </w:tblCellMar>
        </w:tblPrEx>
        <w:trPr>
          <w:trHeight w:val="2160" w:hRule="atLeast"/>
          <w:jc w:val="center"/>
        </w:trPr>
        <w:tc>
          <w:tcPr>
            <w:tcW w:w="1662" w:type="dxa"/>
            <w:tcBorders>
              <w:top w:val="single" w:color="000000" w:sz="8" w:space="0"/>
              <w:left w:val="single" w:color="000000" w:sz="8"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基本设施状况</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市政供水，供电保证率高，排水状况好，周围学校、银行、邮电局（所）、医院等生活设施配套完备</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市政供水，供电保证率较高，排水状况较好，周围学校、银行、邮电局（所）、医院等生活设施配套较完备</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市政供水，供电保证率一般，排水状况一般，周围学校、银行、邮电局（所）、医院等生活设施配套一般</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市政供水，供电保证率较低，排水状况较差，离学校、银行、邮电局（所）、医院等生活设施有一定的距离</w:t>
            </w:r>
          </w:p>
        </w:tc>
        <w:tc>
          <w:tcPr>
            <w:tcW w:w="1530" w:type="dxa"/>
            <w:tcBorders>
              <w:top w:val="single" w:color="000000" w:sz="8" w:space="0"/>
              <w:left w:val="single" w:color="000000" w:sz="4" w:space="0"/>
              <w:bottom w:val="single" w:color="000000" w:sz="4" w:space="0"/>
              <w:right w:val="single" w:color="000000" w:sz="8"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市政供水，供电保证率低，排水状况差，离学校、银行、邮电局（所）、医院较远，生活设施配套不完备</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000000" w:sz="4" w:space="0"/>
              <w:left w:val="single" w:color="000000" w:sz="8"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4.7585%</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2.3792%</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-2.1149%</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-4.2297%</w:t>
            </w:r>
          </w:p>
        </w:tc>
      </w:tr>
      <w:tr>
        <w:tblPrEx>
          <w:tblLayout w:type="fixed"/>
          <w:tblCellMar>
            <w:top w:w="0" w:type="dxa"/>
            <w:left w:w="108" w:type="dxa"/>
            <w:bottom w:w="0" w:type="dxa"/>
            <w:right w:w="108" w:type="dxa"/>
          </w:tblCellMar>
        </w:tblPrEx>
        <w:trPr>
          <w:trHeight w:val="270" w:hRule="atLeast"/>
          <w:jc w:val="center"/>
        </w:trPr>
        <w:tc>
          <w:tcPr>
            <w:tcW w:w="1662" w:type="dxa"/>
            <w:tcBorders>
              <w:top w:val="single" w:color="000000" w:sz="8" w:space="0"/>
              <w:left w:val="single" w:color="000000" w:sz="8"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人口状况</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人口密度高</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人口密度较高</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人口密度一般</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人口密度较低</w:t>
            </w:r>
          </w:p>
        </w:tc>
        <w:tc>
          <w:tcPr>
            <w:tcW w:w="1530" w:type="dxa"/>
            <w:tcBorders>
              <w:top w:val="single" w:color="000000" w:sz="8" w:space="0"/>
              <w:left w:val="single" w:color="000000" w:sz="4" w:space="0"/>
              <w:bottom w:val="single" w:color="000000" w:sz="4" w:space="0"/>
              <w:right w:val="single" w:color="000000" w:sz="8"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人口密度低</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000000" w:sz="4" w:space="0"/>
              <w:left w:val="single" w:color="000000" w:sz="8"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3.8031%</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1.9015%</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-1.6903%</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-3.3805%</w:t>
            </w:r>
          </w:p>
        </w:tc>
      </w:tr>
      <w:tr>
        <w:tblPrEx>
          <w:tblLayout w:type="fixed"/>
          <w:tblCellMar>
            <w:top w:w="0" w:type="dxa"/>
            <w:left w:w="108" w:type="dxa"/>
            <w:bottom w:w="0" w:type="dxa"/>
            <w:right w:w="108" w:type="dxa"/>
          </w:tblCellMar>
        </w:tblPrEx>
        <w:trPr>
          <w:trHeight w:val="270" w:hRule="atLeast"/>
          <w:jc w:val="center"/>
        </w:trPr>
        <w:tc>
          <w:tcPr>
            <w:tcW w:w="1662" w:type="dxa"/>
            <w:tcBorders>
              <w:top w:val="single" w:color="000000" w:sz="8" w:space="0"/>
              <w:left w:val="single" w:color="000000" w:sz="8"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城镇规划</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规划前景好</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规划前景较好</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规划前景一般</w:t>
            </w:r>
          </w:p>
        </w:tc>
        <w:tc>
          <w:tcPr>
            <w:tcW w:w="1530" w:type="dxa"/>
            <w:tcBorders>
              <w:top w:val="single" w:color="000000" w:sz="8"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规划前景较差</w:t>
            </w:r>
          </w:p>
        </w:tc>
        <w:tc>
          <w:tcPr>
            <w:tcW w:w="1530" w:type="dxa"/>
            <w:tcBorders>
              <w:top w:val="single" w:color="000000" w:sz="8" w:space="0"/>
              <w:left w:val="single" w:color="000000" w:sz="4" w:space="0"/>
              <w:bottom w:val="single" w:color="000000" w:sz="4" w:space="0"/>
              <w:right w:val="single" w:color="000000" w:sz="8"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规划前景差</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000000" w:sz="4" w:space="0"/>
              <w:left w:val="single" w:color="000000" w:sz="8"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3.1108%</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1.5554%</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-1.3826%</w:t>
            </w:r>
          </w:p>
        </w:tc>
        <w:tc>
          <w:tcPr>
            <w:tcW w:w="1530" w:type="dxa"/>
            <w:tcBorders>
              <w:top w:val="single" w:color="000000" w:sz="4" w:space="0"/>
              <w:left w:val="single" w:color="000000" w:sz="4" w:space="0"/>
              <w:bottom w:val="single" w:color="000000" w:sz="8"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-2.7651%</w:t>
            </w:r>
          </w:p>
        </w:tc>
      </w:tr>
    </w:tbl>
    <w:p>
      <w:pPr>
        <w:numPr>
          <w:ilvl w:val="0"/>
          <w:numId w:val="2"/>
        </w:numPr>
        <w:tabs>
          <w:tab w:val="left" w:pos="0"/>
        </w:tabs>
        <w:spacing w:before="72" w:after="72"/>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容积率修正系数</w:t>
      </w: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商服用地容积率修正系数表</w:t>
      </w:r>
    </w:p>
    <w:tbl>
      <w:tblPr>
        <w:tblStyle w:val="47"/>
        <w:tblW w:w="7925" w:type="dxa"/>
        <w:jc w:val="center"/>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671"/>
        <w:gridCol w:w="2344"/>
        <w:gridCol w:w="2344"/>
        <w:gridCol w:w="1566"/>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jc w:val="center"/>
        </w:trPr>
        <w:tc>
          <w:tcPr>
            <w:tcW w:w="1671" w:type="dxa"/>
            <w:tcBorders>
              <w:top w:val="single" w:color="auto" w:sz="4" w:space="0"/>
              <w:left w:val="single" w:color="auto" w:sz="4" w:space="0"/>
              <w:bottom w:val="single" w:color="auto" w:sz="4" w:space="0"/>
              <w:right w:val="single" w:color="auto" w:sz="4" w:space="0"/>
            </w:tcBorders>
            <w:shd w:val="clear" w:color="auto" w:fill="FFFFFF"/>
            <w:vAlign w:val="center"/>
          </w:tcPr>
          <w:p>
            <w:pPr>
              <w:autoSpaceDE/>
              <w:autoSpaceDN/>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容积率</w:t>
            </w:r>
          </w:p>
        </w:tc>
        <w:tc>
          <w:tcPr>
            <w:tcW w:w="2344" w:type="dxa"/>
            <w:tcBorders>
              <w:top w:val="single" w:color="auto" w:sz="4" w:space="0"/>
              <w:left w:val="single" w:color="auto" w:sz="4" w:space="0"/>
              <w:bottom w:val="single" w:color="auto" w:sz="4" w:space="0"/>
              <w:right w:val="single" w:color="auto" w:sz="4" w:space="0"/>
            </w:tcBorders>
            <w:shd w:val="clear" w:color="auto" w:fill="FFFFFF"/>
            <w:vAlign w:val="center"/>
          </w:tcPr>
          <w:p>
            <w:pPr>
              <w:autoSpaceDE/>
              <w:autoSpaceDN/>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≤0.40</w:t>
            </w:r>
          </w:p>
        </w:tc>
        <w:tc>
          <w:tcPr>
            <w:tcW w:w="2344" w:type="dxa"/>
            <w:tcBorders>
              <w:top w:val="single" w:color="auto" w:sz="4" w:space="0"/>
              <w:left w:val="single" w:color="auto" w:sz="4" w:space="0"/>
              <w:bottom w:val="single" w:color="auto" w:sz="4" w:space="0"/>
              <w:right w:val="single" w:color="auto" w:sz="4" w:space="0"/>
            </w:tcBorders>
            <w:shd w:val="clear" w:color="auto" w:fill="FFFFFF"/>
            <w:vAlign w:val="center"/>
          </w:tcPr>
          <w:p>
            <w:pPr>
              <w:autoSpaceDE/>
              <w:autoSpaceDN/>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0.40&lt;r≤1.5</w:t>
            </w:r>
          </w:p>
        </w:tc>
        <w:tc>
          <w:tcPr>
            <w:tcW w:w="1566" w:type="dxa"/>
            <w:tcBorders>
              <w:top w:val="single" w:color="auto" w:sz="4" w:space="0"/>
              <w:left w:val="single" w:color="auto" w:sz="4" w:space="0"/>
              <w:bottom w:val="single" w:color="auto" w:sz="4" w:space="0"/>
              <w:right w:val="single" w:color="auto" w:sz="4" w:space="0"/>
            </w:tcBorders>
            <w:shd w:val="clear" w:color="auto" w:fill="FFFFFF"/>
            <w:vAlign w:val="center"/>
          </w:tcPr>
          <w:p>
            <w:pPr>
              <w:autoSpaceDE/>
              <w:autoSpaceDN/>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＞1.5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397" w:hRule="atLeast"/>
          <w:jc w:val="center"/>
        </w:trPr>
        <w:tc>
          <w:tcPr>
            <w:tcW w:w="1671"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修正系数</w:t>
            </w:r>
          </w:p>
        </w:tc>
        <w:tc>
          <w:tcPr>
            <w:tcW w:w="2344"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1.0</w:t>
            </w:r>
          </w:p>
        </w:tc>
        <w:tc>
          <w:tcPr>
            <w:tcW w:w="2344"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(0.4/r)</w:t>
            </w:r>
            <w:r>
              <w:rPr>
                <w:rFonts w:hint="eastAsia" w:ascii="仿宋_GB2312" w:hAnsi="仿宋_GB2312" w:eastAsia="仿宋_GB2312" w:cs="仿宋_GB2312"/>
                <w:sz w:val="24"/>
                <w:vertAlign w:val="superscript"/>
              </w:rPr>
              <w:t>1/2.5</w:t>
            </w:r>
          </w:p>
        </w:tc>
        <w:tc>
          <w:tcPr>
            <w:tcW w:w="1566"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0.5743</w:t>
            </w:r>
          </w:p>
        </w:tc>
      </w:tr>
    </w:tbl>
    <w:p>
      <w:pPr>
        <w:ind w:firstLine="468"/>
        <w:rPr>
          <w:rFonts w:ascii="仿宋_GB2312" w:hAnsi="仿宋_GB2312" w:eastAsia="仿宋_GB2312" w:cs="仿宋_GB2312"/>
          <w:sz w:val="24"/>
        </w:rPr>
      </w:pPr>
      <w:r>
        <w:rPr>
          <w:rFonts w:hint="eastAsia" w:ascii="仿宋_GB2312" w:hAnsi="仿宋_GB2312" w:eastAsia="仿宋_GB2312" w:cs="仿宋_GB2312"/>
          <w:spacing w:val="-3"/>
          <w:sz w:val="24"/>
        </w:rPr>
        <w:t>注:待估价宗地为商住用地等情况时，容积率修正系数应按分摊后的商服用地容积率选用</w:t>
      </w:r>
    </w:p>
    <w:p>
      <w:pPr>
        <w:numPr>
          <w:ilvl w:val="0"/>
          <w:numId w:val="2"/>
        </w:numPr>
        <w:tabs>
          <w:tab w:val="left" w:pos="0"/>
        </w:tabs>
        <w:spacing w:before="72" w:after="72"/>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楼层修正系数</w:t>
      </w: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商服用地楼层修正系数表</w:t>
      </w:r>
    </w:p>
    <w:tbl>
      <w:tblPr>
        <w:tblStyle w:val="47"/>
        <w:tblW w:w="927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20"/>
        <w:gridCol w:w="1902"/>
        <w:gridCol w:w="2704"/>
        <w:gridCol w:w="2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220" w:type="dxa"/>
            <w:tcBorders>
              <w:top w:val="single" w:color="auto" w:sz="4" w:space="0"/>
            </w:tcBorders>
            <w:vAlign w:val="center"/>
          </w:tcPr>
          <w:p>
            <w:pPr>
              <w:widowControl/>
              <w:adjustRightInd w:val="0"/>
              <w:snapToGrid w:val="0"/>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楼层</w:t>
            </w:r>
          </w:p>
        </w:tc>
        <w:tc>
          <w:tcPr>
            <w:tcW w:w="1902" w:type="dxa"/>
            <w:tcBorders>
              <w:top w:val="single" w:color="auto" w:sz="4" w:space="0"/>
            </w:tcBorders>
            <w:vAlign w:val="center"/>
          </w:tcPr>
          <w:p>
            <w:pPr>
              <w:widowControl/>
              <w:adjustRightInd w:val="0"/>
              <w:snapToGrid w:val="0"/>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首层</w:t>
            </w:r>
          </w:p>
        </w:tc>
        <w:tc>
          <w:tcPr>
            <w:tcW w:w="2704" w:type="dxa"/>
            <w:tcBorders>
              <w:top w:val="single" w:color="auto" w:sz="4" w:space="0"/>
            </w:tcBorders>
            <w:vAlign w:val="center"/>
          </w:tcPr>
          <w:p>
            <w:pPr>
              <w:widowControl/>
              <w:adjustRightInd w:val="0"/>
              <w:snapToGrid w:val="0"/>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第二层、夹层</w:t>
            </w:r>
          </w:p>
        </w:tc>
        <w:tc>
          <w:tcPr>
            <w:tcW w:w="2453" w:type="dxa"/>
            <w:tcBorders>
              <w:top w:val="single" w:color="auto" w:sz="4" w:space="0"/>
            </w:tcBorders>
            <w:vAlign w:val="center"/>
          </w:tcPr>
          <w:p>
            <w:pPr>
              <w:widowControl/>
              <w:adjustRightInd w:val="0"/>
              <w:snapToGrid w:val="0"/>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第三层、地下负一层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220" w:type="dxa"/>
            <w:vAlign w:val="center"/>
          </w:tcPr>
          <w:p>
            <w:pPr>
              <w:widowControl/>
              <w:adjustRightInd w:val="0"/>
              <w:snapToGrid w:val="0"/>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902" w:type="dxa"/>
            <w:vAlign w:val="center"/>
          </w:tcPr>
          <w:p>
            <w:pPr>
              <w:pStyle w:val="23"/>
              <w:widowControl/>
              <w:rPr>
                <w:rFonts w:ascii="仿宋_GB2312" w:hAnsi="仿宋_GB2312" w:eastAsia="仿宋_GB2312" w:cs="仿宋_GB2312"/>
                <w:kern w:val="0"/>
                <w:sz w:val="24"/>
                <w:lang w:val="zh-CN" w:bidi="zh-CN"/>
              </w:rPr>
            </w:pPr>
            <w:r>
              <w:rPr>
                <w:rFonts w:hint="eastAsia" w:ascii="仿宋_GB2312" w:hAnsi="仿宋_GB2312" w:eastAsia="仿宋_GB2312" w:cs="仿宋_GB2312"/>
                <w:kern w:val="0"/>
                <w:sz w:val="24"/>
                <w:lang w:val="zh-CN" w:bidi="zh-CN"/>
              </w:rPr>
              <w:t>1.0</w:t>
            </w:r>
          </w:p>
        </w:tc>
        <w:tc>
          <w:tcPr>
            <w:tcW w:w="2704" w:type="dxa"/>
            <w:vAlign w:val="center"/>
          </w:tcPr>
          <w:p>
            <w:pPr>
              <w:pStyle w:val="23"/>
              <w:widowControl/>
              <w:rPr>
                <w:rFonts w:ascii="仿宋_GB2312" w:hAnsi="仿宋_GB2312" w:eastAsia="仿宋_GB2312" w:cs="仿宋_GB2312"/>
                <w:kern w:val="0"/>
                <w:sz w:val="24"/>
                <w:lang w:val="zh-CN" w:bidi="zh-CN"/>
              </w:rPr>
            </w:pPr>
            <w:r>
              <w:rPr>
                <w:rFonts w:hint="eastAsia" w:ascii="仿宋_GB2312" w:hAnsi="仿宋_GB2312" w:eastAsia="仿宋_GB2312" w:cs="仿宋_GB2312"/>
                <w:kern w:val="0"/>
                <w:sz w:val="24"/>
                <w:lang w:val="zh-CN" w:bidi="zh-CN"/>
              </w:rPr>
              <w:t>0.5～0.6</w:t>
            </w:r>
          </w:p>
        </w:tc>
        <w:tc>
          <w:tcPr>
            <w:tcW w:w="2453" w:type="dxa"/>
            <w:vAlign w:val="center"/>
          </w:tcPr>
          <w:p>
            <w:pPr>
              <w:pStyle w:val="23"/>
              <w:widowControl/>
              <w:rPr>
                <w:rFonts w:ascii="仿宋_GB2312" w:hAnsi="仿宋_GB2312" w:eastAsia="仿宋_GB2312" w:cs="仿宋_GB2312"/>
                <w:kern w:val="0"/>
                <w:sz w:val="24"/>
                <w:lang w:val="zh-CN" w:bidi="zh-CN"/>
              </w:rPr>
            </w:pPr>
            <w:r>
              <w:rPr>
                <w:rFonts w:hint="eastAsia" w:ascii="仿宋_GB2312" w:hAnsi="仿宋_GB2312" w:eastAsia="仿宋_GB2312" w:cs="仿宋_GB2312"/>
                <w:kern w:val="0"/>
                <w:sz w:val="24"/>
                <w:lang w:val="zh-CN" w:bidi="zh-CN"/>
              </w:rPr>
              <w:t>0.3～0.5</w:t>
            </w:r>
          </w:p>
        </w:tc>
      </w:tr>
    </w:tbl>
    <w:p>
      <w:pPr>
        <w:adjustRightInd w:val="0"/>
        <w:snapToGrid w:val="0"/>
        <w:spacing w:before="72" w:after="72" w:line="240" w:lineRule="auto"/>
        <w:rPr>
          <w:rFonts w:ascii="仿宋_GB2312" w:hAnsi="仿宋_GB2312" w:eastAsia="仿宋_GB2312" w:cs="仿宋_GB2312"/>
          <w:sz w:val="24"/>
        </w:rPr>
      </w:pPr>
      <w:r>
        <w:rPr>
          <w:rFonts w:hint="eastAsia" w:ascii="仿宋_GB2312" w:hAnsi="仿宋_GB2312" w:eastAsia="仿宋_GB2312" w:cs="仿宋_GB2312"/>
          <w:sz w:val="24"/>
        </w:rPr>
        <w:t>注：①本表适用于已建成项目采用首层楼面地价测算宗地价格；②修正后得到的结果是第n层的楼面地价。</w:t>
      </w:r>
    </w:p>
    <w:p>
      <w:pPr>
        <w:numPr>
          <w:ilvl w:val="0"/>
          <w:numId w:val="2"/>
        </w:numPr>
        <w:tabs>
          <w:tab w:val="left" w:pos="0"/>
        </w:tabs>
        <w:spacing w:before="72" w:after="72"/>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临街深度修正系数</w:t>
      </w: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商服用地临街深度修正系数表（标准深度为12米）</w:t>
      </w:r>
    </w:p>
    <w:tbl>
      <w:tblPr>
        <w:tblStyle w:val="47"/>
        <w:tblW w:w="948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7"/>
        <w:gridCol w:w="1609"/>
        <w:gridCol w:w="1606"/>
        <w:gridCol w:w="1608"/>
        <w:gridCol w:w="1606"/>
        <w:gridCol w:w="1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07" w:type="dxa"/>
            <w:tcBorders>
              <w:top w:val="single" w:color="auto" w:sz="4" w:space="0"/>
            </w:tcBorders>
            <w:shd w:val="clear" w:color="auto" w:fill="FFFFFF"/>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深度（米）</w:t>
            </w:r>
          </w:p>
        </w:tc>
        <w:tc>
          <w:tcPr>
            <w:tcW w:w="1609" w:type="dxa"/>
            <w:tcBorders>
              <w:top w:val="single" w:color="auto" w:sz="4" w:space="0"/>
            </w:tcBorders>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0≤2</w:t>
            </w:r>
          </w:p>
        </w:tc>
        <w:tc>
          <w:tcPr>
            <w:tcW w:w="1606" w:type="dxa"/>
            <w:tcBorders>
              <w:top w:val="single" w:color="auto" w:sz="4" w:space="0"/>
            </w:tcBorders>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2&lt;v≤4</w:t>
            </w:r>
          </w:p>
        </w:tc>
        <w:tc>
          <w:tcPr>
            <w:tcW w:w="1608" w:type="dxa"/>
            <w:tcBorders>
              <w:top w:val="single" w:color="auto" w:sz="4" w:space="0"/>
            </w:tcBorders>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4&lt;v≤6</w:t>
            </w:r>
          </w:p>
        </w:tc>
        <w:tc>
          <w:tcPr>
            <w:tcW w:w="1606" w:type="dxa"/>
            <w:tcBorders>
              <w:top w:val="single" w:color="auto" w:sz="4" w:space="0"/>
            </w:tcBorders>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6&lt;v≤8</w:t>
            </w:r>
          </w:p>
        </w:tc>
        <w:tc>
          <w:tcPr>
            <w:tcW w:w="1447" w:type="dxa"/>
            <w:tcBorders>
              <w:top w:val="single" w:color="auto" w:sz="4" w:space="0"/>
            </w:tcBorders>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8&lt;v≤10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07" w:type="dxa"/>
            <w:shd w:val="clear" w:color="auto" w:fill="FFFFFF"/>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修正系数</w:t>
            </w:r>
          </w:p>
        </w:tc>
        <w:tc>
          <w:tcPr>
            <w:tcW w:w="1609" w:type="dxa"/>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1.49</w:t>
            </w:r>
          </w:p>
        </w:tc>
        <w:tc>
          <w:tcPr>
            <w:tcW w:w="1606" w:type="dxa"/>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1.37</w:t>
            </w:r>
          </w:p>
        </w:tc>
        <w:tc>
          <w:tcPr>
            <w:tcW w:w="1608" w:type="dxa"/>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1.25</w:t>
            </w:r>
          </w:p>
        </w:tc>
        <w:tc>
          <w:tcPr>
            <w:tcW w:w="1606" w:type="dxa"/>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1.15</w:t>
            </w:r>
          </w:p>
        </w:tc>
        <w:tc>
          <w:tcPr>
            <w:tcW w:w="1447" w:type="dxa"/>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1.04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07" w:type="dxa"/>
            <w:shd w:val="clear" w:color="auto" w:fill="FFFFFF"/>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深度（米）</w:t>
            </w:r>
          </w:p>
        </w:tc>
        <w:tc>
          <w:tcPr>
            <w:tcW w:w="1609" w:type="dxa"/>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10&lt;v≤12</w:t>
            </w:r>
          </w:p>
        </w:tc>
        <w:tc>
          <w:tcPr>
            <w:tcW w:w="1606" w:type="dxa"/>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12&lt;v≤16</w:t>
            </w:r>
          </w:p>
        </w:tc>
        <w:tc>
          <w:tcPr>
            <w:tcW w:w="1608" w:type="dxa"/>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16&lt;v≤20</w:t>
            </w:r>
          </w:p>
        </w:tc>
        <w:tc>
          <w:tcPr>
            <w:tcW w:w="1606" w:type="dxa"/>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20&lt;v≤26</w:t>
            </w:r>
          </w:p>
        </w:tc>
        <w:tc>
          <w:tcPr>
            <w:tcW w:w="1447" w:type="dxa"/>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26&lt;v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07" w:type="dxa"/>
            <w:shd w:val="clear" w:color="auto" w:fill="FFFFFF"/>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修正系数</w:t>
            </w:r>
          </w:p>
        </w:tc>
        <w:tc>
          <w:tcPr>
            <w:tcW w:w="1609" w:type="dxa"/>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1</w:t>
            </w:r>
          </w:p>
        </w:tc>
        <w:tc>
          <w:tcPr>
            <w:tcW w:w="1606" w:type="dxa"/>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0.93</w:t>
            </w:r>
          </w:p>
        </w:tc>
        <w:tc>
          <w:tcPr>
            <w:tcW w:w="1608" w:type="dxa"/>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0.81</w:t>
            </w:r>
          </w:p>
        </w:tc>
        <w:tc>
          <w:tcPr>
            <w:tcW w:w="1606" w:type="dxa"/>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0.70</w:t>
            </w:r>
          </w:p>
        </w:tc>
        <w:tc>
          <w:tcPr>
            <w:tcW w:w="1447" w:type="dxa"/>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0.65</w:t>
            </w:r>
          </w:p>
        </w:tc>
      </w:tr>
    </w:tbl>
    <w:p>
      <w:pPr>
        <w:spacing w:line="240" w:lineRule="auto"/>
        <w:rPr>
          <w:rFonts w:ascii="仿宋_GB2312" w:hAnsi="仿宋_GB2312" w:eastAsia="仿宋_GB2312" w:cs="仿宋_GB2312"/>
          <w:sz w:val="24"/>
        </w:rPr>
      </w:pPr>
      <w:r>
        <w:rPr>
          <w:rFonts w:hint="eastAsia" w:ascii="仿宋_GB2312" w:hAnsi="仿宋_GB2312" w:eastAsia="仿宋_GB2312" w:cs="仿宋_GB2312"/>
          <w:sz w:val="24"/>
        </w:rPr>
        <w:t>注：</w:t>
      </w:r>
      <w:r>
        <w:rPr>
          <w:rFonts w:hint="eastAsia" w:ascii="仿宋_GB2312" w:hAnsi="仿宋_GB2312" w:eastAsia="仿宋_GB2312" w:cs="仿宋_GB2312"/>
          <w:spacing w:val="-9"/>
          <w:sz w:val="24"/>
        </w:rPr>
        <w:t>对于已建成项目，深度起算点为该建筑物的铺面口，若为未建项目，深度起算点则为建筑红线</w:t>
      </w:r>
      <w:r>
        <w:rPr>
          <w:rFonts w:hint="eastAsia" w:ascii="仿宋_GB2312" w:hAnsi="仿宋_GB2312" w:eastAsia="仿宋_GB2312" w:cs="仿宋_GB2312"/>
          <w:sz w:val="24"/>
        </w:rPr>
        <w:t>。</w:t>
      </w:r>
    </w:p>
    <w:p>
      <w:pPr>
        <w:numPr>
          <w:ilvl w:val="0"/>
          <w:numId w:val="2"/>
        </w:numPr>
        <w:tabs>
          <w:tab w:val="left" w:pos="0"/>
        </w:tabs>
        <w:spacing w:before="72" w:after="72"/>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临街宽深比修正系数</w:t>
      </w: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商服用地临街宽深比修正系数表</w:t>
      </w:r>
    </w:p>
    <w:tbl>
      <w:tblPr>
        <w:tblStyle w:val="47"/>
        <w:tblW w:w="907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134"/>
        <w:gridCol w:w="796"/>
        <w:gridCol w:w="1293"/>
        <w:gridCol w:w="1313"/>
        <w:gridCol w:w="1275"/>
        <w:gridCol w:w="1275"/>
        <w:gridCol w:w="1312"/>
        <w:gridCol w:w="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419" w:hRule="atLeast"/>
          <w:jc w:val="center"/>
        </w:trPr>
        <w:tc>
          <w:tcPr>
            <w:tcW w:w="1134" w:type="dxa"/>
            <w:tcBorders>
              <w:top w:val="single" w:color="auto" w:sz="4" w:space="0"/>
            </w:tcBorders>
            <w:shd w:val="clear" w:color="auto" w:fill="FFFFFF"/>
            <w:vAlign w:val="center"/>
          </w:tcPr>
          <w:p>
            <w:pPr>
              <w:pStyle w:val="57"/>
              <w:spacing w:before="72" w:after="72"/>
              <w:rPr>
                <w:rFonts w:hAnsi="仿宋_GB2312" w:eastAsia="仿宋_GB2312" w:cs="仿宋_GB2312"/>
                <w:w w:val="100"/>
                <w:sz w:val="24"/>
                <w:szCs w:val="24"/>
              </w:rPr>
            </w:pPr>
            <w:r>
              <w:rPr>
                <w:rFonts w:hint="eastAsia" w:hAnsi="仿宋_GB2312" w:eastAsia="仿宋_GB2312" w:cs="仿宋_GB2312"/>
                <w:w w:val="100"/>
                <w:sz w:val="24"/>
                <w:szCs w:val="24"/>
              </w:rPr>
              <w:t>宽深比</w:t>
            </w:r>
          </w:p>
        </w:tc>
        <w:tc>
          <w:tcPr>
            <w:tcW w:w="796" w:type="dxa"/>
            <w:tcBorders>
              <w:top w:val="single" w:color="auto" w:sz="4" w:space="0"/>
            </w:tcBorders>
            <w:vAlign w:val="center"/>
          </w:tcPr>
          <w:p>
            <w:pPr>
              <w:spacing w:before="72" w:after="72"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w&lt;0.1</w:t>
            </w:r>
          </w:p>
        </w:tc>
        <w:tc>
          <w:tcPr>
            <w:tcW w:w="1293" w:type="dxa"/>
            <w:tcBorders>
              <w:top w:val="single" w:color="auto" w:sz="4" w:space="0"/>
            </w:tcBorders>
            <w:vAlign w:val="center"/>
          </w:tcPr>
          <w:p>
            <w:pPr>
              <w:spacing w:before="72" w:after="72"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0.1&lt;w≤0.3</w:t>
            </w:r>
          </w:p>
        </w:tc>
        <w:tc>
          <w:tcPr>
            <w:tcW w:w="1313" w:type="dxa"/>
            <w:tcBorders>
              <w:top w:val="single" w:color="auto" w:sz="4" w:space="0"/>
            </w:tcBorders>
            <w:vAlign w:val="center"/>
          </w:tcPr>
          <w:p>
            <w:pPr>
              <w:spacing w:before="72" w:after="72"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0.3&lt;w≤0.5</w:t>
            </w:r>
          </w:p>
        </w:tc>
        <w:tc>
          <w:tcPr>
            <w:tcW w:w="1275" w:type="dxa"/>
            <w:tcBorders>
              <w:top w:val="single" w:color="auto" w:sz="4" w:space="0"/>
            </w:tcBorders>
            <w:vAlign w:val="center"/>
          </w:tcPr>
          <w:p>
            <w:pPr>
              <w:spacing w:before="72" w:after="72"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0.5&lt;w≤0.7</w:t>
            </w:r>
          </w:p>
        </w:tc>
        <w:tc>
          <w:tcPr>
            <w:tcW w:w="1275" w:type="dxa"/>
            <w:tcBorders>
              <w:top w:val="single" w:color="auto" w:sz="4" w:space="0"/>
            </w:tcBorders>
            <w:vAlign w:val="center"/>
          </w:tcPr>
          <w:p>
            <w:pPr>
              <w:spacing w:before="72" w:after="72"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0.7&lt;w≤0.9</w:t>
            </w:r>
          </w:p>
        </w:tc>
        <w:tc>
          <w:tcPr>
            <w:tcW w:w="1312" w:type="dxa"/>
            <w:tcBorders>
              <w:top w:val="single" w:color="auto" w:sz="4" w:space="0"/>
            </w:tcBorders>
            <w:vAlign w:val="center"/>
          </w:tcPr>
          <w:p>
            <w:pPr>
              <w:spacing w:before="72" w:after="72"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0.9&lt;w≤1.1</w:t>
            </w:r>
          </w:p>
        </w:tc>
        <w:tc>
          <w:tcPr>
            <w:tcW w:w="674" w:type="dxa"/>
            <w:tcBorders>
              <w:top w:val="single" w:color="auto" w:sz="4" w:space="0"/>
            </w:tcBorders>
            <w:vAlign w:val="center"/>
          </w:tcPr>
          <w:p>
            <w:pPr>
              <w:spacing w:before="72" w:after="72"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1.1&lt;w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261" w:hRule="atLeast"/>
          <w:jc w:val="center"/>
        </w:trPr>
        <w:tc>
          <w:tcPr>
            <w:tcW w:w="1134" w:type="dxa"/>
            <w:shd w:val="clear" w:color="auto" w:fill="FFFFFF"/>
            <w:vAlign w:val="center"/>
          </w:tcPr>
          <w:p>
            <w:pPr>
              <w:pStyle w:val="57"/>
              <w:spacing w:before="72" w:after="72"/>
              <w:rPr>
                <w:rFonts w:hAnsi="仿宋_GB2312" w:eastAsia="仿宋_GB2312" w:cs="仿宋_GB2312"/>
                <w:w w:val="100"/>
                <w:sz w:val="24"/>
                <w:szCs w:val="24"/>
              </w:rPr>
            </w:pPr>
            <w:r>
              <w:rPr>
                <w:rFonts w:hint="eastAsia" w:hAnsi="仿宋_GB2312" w:eastAsia="仿宋_GB2312" w:cs="仿宋_GB2312"/>
                <w:w w:val="100"/>
                <w:sz w:val="24"/>
                <w:szCs w:val="24"/>
              </w:rPr>
              <w:t>修正系数</w:t>
            </w:r>
          </w:p>
        </w:tc>
        <w:tc>
          <w:tcPr>
            <w:tcW w:w="796" w:type="dxa"/>
            <w:vAlign w:val="center"/>
          </w:tcPr>
          <w:p>
            <w:pPr>
              <w:spacing w:before="72" w:after="72"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0.87</w:t>
            </w:r>
          </w:p>
        </w:tc>
        <w:tc>
          <w:tcPr>
            <w:tcW w:w="1293" w:type="dxa"/>
            <w:vAlign w:val="center"/>
          </w:tcPr>
          <w:p>
            <w:pPr>
              <w:autoSpaceDE/>
              <w:autoSpaceDN/>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0.93</w:t>
            </w:r>
          </w:p>
        </w:tc>
        <w:tc>
          <w:tcPr>
            <w:tcW w:w="1313" w:type="dxa"/>
            <w:vAlign w:val="center"/>
          </w:tcPr>
          <w:p>
            <w:pPr>
              <w:autoSpaceDE/>
              <w:autoSpaceDN/>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1.00</w:t>
            </w:r>
          </w:p>
        </w:tc>
        <w:tc>
          <w:tcPr>
            <w:tcW w:w="1275" w:type="dxa"/>
            <w:vAlign w:val="center"/>
          </w:tcPr>
          <w:p>
            <w:pPr>
              <w:autoSpaceDE/>
              <w:autoSpaceDN/>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1.02</w:t>
            </w:r>
          </w:p>
        </w:tc>
        <w:tc>
          <w:tcPr>
            <w:tcW w:w="1275" w:type="dxa"/>
            <w:vAlign w:val="center"/>
          </w:tcPr>
          <w:p>
            <w:pPr>
              <w:autoSpaceDE/>
              <w:autoSpaceDN/>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1.04</w:t>
            </w:r>
          </w:p>
        </w:tc>
        <w:tc>
          <w:tcPr>
            <w:tcW w:w="1312" w:type="dxa"/>
            <w:vAlign w:val="center"/>
          </w:tcPr>
          <w:p>
            <w:pPr>
              <w:autoSpaceDE/>
              <w:autoSpaceDN/>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1.06</w:t>
            </w:r>
          </w:p>
        </w:tc>
        <w:tc>
          <w:tcPr>
            <w:tcW w:w="674" w:type="dxa"/>
            <w:vAlign w:val="center"/>
          </w:tcPr>
          <w:p>
            <w:pPr>
              <w:autoSpaceDE/>
              <w:autoSpaceDN/>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1.08</w:t>
            </w:r>
          </w:p>
        </w:tc>
      </w:tr>
    </w:tbl>
    <w:p>
      <w:pPr>
        <w:pStyle w:val="9"/>
        <w:spacing w:line="240" w:lineRule="auto"/>
        <w:rPr>
          <w:rFonts w:ascii="仿宋_GB2312" w:hAnsi="仿宋_GB2312" w:eastAsia="仿宋_GB2312" w:cs="仿宋_GB2312"/>
          <w:sz w:val="24"/>
          <w:szCs w:val="22"/>
          <w:lang w:bidi="zh-CN"/>
        </w:rPr>
      </w:pPr>
      <w:r>
        <w:rPr>
          <w:rFonts w:hint="eastAsia" w:ascii="仿宋_GB2312" w:hAnsi="仿宋_GB2312" w:eastAsia="仿宋_GB2312" w:cs="仿宋_GB2312"/>
          <w:sz w:val="24"/>
          <w:szCs w:val="22"/>
          <w:lang w:val="zh-CN" w:bidi="zh-CN"/>
        </w:rPr>
        <w:t>注：</w:t>
      </w:r>
      <w:r>
        <w:rPr>
          <w:rFonts w:hint="eastAsia" w:ascii="仿宋_GB2312" w:hAnsi="仿宋_GB2312" w:eastAsia="仿宋_GB2312" w:cs="仿宋_GB2312"/>
          <w:sz w:val="24"/>
        </w:rPr>
        <w:t>①</w:t>
      </w:r>
      <w:r>
        <w:rPr>
          <w:rFonts w:hint="eastAsia" w:ascii="仿宋_GB2312" w:hAnsi="仿宋_GB2312" w:eastAsia="仿宋_GB2312" w:cs="仿宋_GB2312"/>
          <w:sz w:val="24"/>
          <w:szCs w:val="22"/>
          <w:lang w:val="zh-CN" w:bidi="zh-CN"/>
        </w:rPr>
        <w:t>宽深比修正适用于已建成的宗地和待开发宗地；</w:t>
      </w:r>
      <w:r>
        <w:rPr>
          <w:rFonts w:hint="eastAsia" w:ascii="仿宋_GB2312" w:hAnsi="仿宋_GB2312" w:eastAsia="仿宋_GB2312" w:cs="仿宋_GB2312"/>
          <w:sz w:val="24"/>
        </w:rPr>
        <w:t>②</w:t>
      </w:r>
      <w:r>
        <w:rPr>
          <w:rFonts w:hint="eastAsia" w:ascii="仿宋_GB2312" w:hAnsi="仿宋_GB2312" w:eastAsia="仿宋_GB2312" w:cs="仿宋_GB2312"/>
          <w:sz w:val="24"/>
          <w:szCs w:val="22"/>
          <w:lang w:val="zh-CN" w:bidi="zh-CN"/>
        </w:rPr>
        <w:t>深度在标准深度（1</w:t>
      </w:r>
      <w:r>
        <w:rPr>
          <w:rFonts w:hint="eastAsia" w:ascii="仿宋_GB2312" w:hAnsi="仿宋_GB2312" w:eastAsia="仿宋_GB2312" w:cs="仿宋_GB2312"/>
          <w:sz w:val="24"/>
          <w:szCs w:val="22"/>
          <w:lang w:bidi="zh-CN"/>
        </w:rPr>
        <w:t>2</w:t>
      </w:r>
      <w:r>
        <w:rPr>
          <w:rFonts w:hint="eastAsia" w:ascii="仿宋_GB2312" w:hAnsi="仿宋_GB2312" w:eastAsia="仿宋_GB2312" w:cs="仿宋_GB2312"/>
          <w:sz w:val="24"/>
          <w:szCs w:val="22"/>
          <w:lang w:val="zh-CN" w:bidi="zh-CN"/>
        </w:rPr>
        <w:t>米）以内的，计算宽深比时，宽度取实际宽度，深度取实际深度；超过标准深度（1</w:t>
      </w:r>
      <w:r>
        <w:rPr>
          <w:rFonts w:hint="eastAsia" w:ascii="仿宋_GB2312" w:hAnsi="仿宋_GB2312" w:eastAsia="仿宋_GB2312" w:cs="仿宋_GB2312"/>
          <w:sz w:val="24"/>
          <w:szCs w:val="22"/>
          <w:lang w:bidi="zh-CN"/>
        </w:rPr>
        <w:t>2</w:t>
      </w:r>
      <w:r>
        <w:rPr>
          <w:rFonts w:hint="eastAsia" w:ascii="仿宋_GB2312" w:hAnsi="仿宋_GB2312" w:eastAsia="仿宋_GB2312" w:cs="仿宋_GB2312"/>
          <w:sz w:val="24"/>
          <w:szCs w:val="22"/>
          <w:lang w:val="zh-CN" w:bidi="zh-CN"/>
        </w:rPr>
        <w:t>米）的，计算宽深比时，宽度取实际宽度，深度取标准深度（1</w:t>
      </w:r>
      <w:r>
        <w:rPr>
          <w:rFonts w:hint="eastAsia" w:ascii="仿宋_GB2312" w:hAnsi="仿宋_GB2312" w:eastAsia="仿宋_GB2312" w:cs="仿宋_GB2312"/>
          <w:sz w:val="24"/>
          <w:szCs w:val="22"/>
          <w:lang w:bidi="zh-CN"/>
        </w:rPr>
        <w:t>2</w:t>
      </w:r>
      <w:r>
        <w:rPr>
          <w:rFonts w:hint="eastAsia" w:ascii="仿宋_GB2312" w:hAnsi="仿宋_GB2312" w:eastAsia="仿宋_GB2312" w:cs="仿宋_GB2312"/>
          <w:sz w:val="24"/>
          <w:szCs w:val="22"/>
          <w:lang w:val="zh-CN" w:bidi="zh-CN"/>
        </w:rPr>
        <w:t>米）。</w:t>
      </w:r>
    </w:p>
    <w:p>
      <w:pPr>
        <w:numPr>
          <w:ilvl w:val="0"/>
          <w:numId w:val="2"/>
        </w:numPr>
        <w:tabs>
          <w:tab w:val="left" w:pos="0"/>
        </w:tabs>
        <w:spacing w:before="72" w:after="72"/>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街角地修正系数</w:t>
      </w: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街角地修正系数</w:t>
      </w:r>
    </w:p>
    <w:tbl>
      <w:tblPr>
        <w:tblStyle w:val="47"/>
        <w:tblW w:w="8495"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99"/>
        <w:gridCol w:w="1700"/>
        <w:gridCol w:w="1697"/>
        <w:gridCol w:w="1699"/>
        <w:gridCol w:w="17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5" w:hRule="atLeast"/>
          <w:jc w:val="center"/>
        </w:trPr>
        <w:tc>
          <w:tcPr>
            <w:tcW w:w="1699" w:type="dxa"/>
            <w:tcBorders>
              <w:top w:val="single" w:color="auto" w:sz="4" w:space="0"/>
            </w:tcBorders>
            <w:vAlign w:val="center"/>
          </w:tcPr>
          <w:p>
            <w:pPr>
              <w:pStyle w:val="113"/>
              <w:autoSpaceDE/>
              <w:autoSpaceDN/>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临街情况</w:t>
            </w:r>
          </w:p>
        </w:tc>
        <w:tc>
          <w:tcPr>
            <w:tcW w:w="1700" w:type="dxa"/>
            <w:tcBorders>
              <w:top w:val="single" w:color="auto" w:sz="4" w:space="0"/>
            </w:tcBorders>
            <w:vAlign w:val="center"/>
          </w:tcPr>
          <w:p>
            <w:pPr>
              <w:pStyle w:val="113"/>
              <w:autoSpaceDE/>
              <w:autoSpaceDN/>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一面临街</w:t>
            </w:r>
          </w:p>
        </w:tc>
        <w:tc>
          <w:tcPr>
            <w:tcW w:w="1697" w:type="dxa"/>
            <w:tcBorders>
              <w:top w:val="single" w:color="auto" w:sz="4" w:space="0"/>
            </w:tcBorders>
            <w:vAlign w:val="center"/>
          </w:tcPr>
          <w:p>
            <w:pPr>
              <w:pStyle w:val="113"/>
              <w:autoSpaceDE/>
              <w:autoSpaceDN/>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两面临街</w:t>
            </w:r>
          </w:p>
        </w:tc>
        <w:tc>
          <w:tcPr>
            <w:tcW w:w="1699" w:type="dxa"/>
            <w:tcBorders>
              <w:top w:val="single" w:color="auto" w:sz="4" w:space="0"/>
            </w:tcBorders>
            <w:vAlign w:val="center"/>
          </w:tcPr>
          <w:p>
            <w:pPr>
              <w:pStyle w:val="113"/>
              <w:autoSpaceDE/>
              <w:autoSpaceDN/>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三面临街</w:t>
            </w:r>
          </w:p>
        </w:tc>
        <w:tc>
          <w:tcPr>
            <w:tcW w:w="1700" w:type="dxa"/>
            <w:tcBorders>
              <w:top w:val="single" w:color="auto" w:sz="4" w:space="0"/>
            </w:tcBorders>
            <w:vAlign w:val="center"/>
          </w:tcPr>
          <w:p>
            <w:pPr>
              <w:pStyle w:val="113"/>
              <w:autoSpaceDE/>
              <w:autoSpaceDN/>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lang w:val="en-US"/>
              </w:rPr>
              <w:t>三</w:t>
            </w:r>
            <w:r>
              <w:rPr>
                <w:rFonts w:hint="eastAsia" w:ascii="仿宋_GB2312" w:hAnsi="仿宋_GB2312" w:eastAsia="仿宋_GB2312" w:cs="仿宋_GB2312"/>
                <w:sz w:val="24"/>
              </w:rPr>
              <w:t>面</w:t>
            </w:r>
            <w:r>
              <w:rPr>
                <w:rFonts w:hint="eastAsia" w:ascii="仿宋_GB2312" w:hAnsi="仿宋_GB2312" w:eastAsia="仿宋_GB2312" w:cs="仿宋_GB2312"/>
                <w:sz w:val="24"/>
                <w:lang w:val="en-US"/>
              </w:rPr>
              <w:t>以上</w:t>
            </w:r>
            <w:r>
              <w:rPr>
                <w:rFonts w:hint="eastAsia" w:ascii="仿宋_GB2312" w:hAnsi="仿宋_GB2312" w:eastAsia="仿宋_GB2312" w:cs="仿宋_GB2312"/>
                <w:sz w:val="24"/>
              </w:rPr>
              <w:t>临街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8" w:hRule="atLeast"/>
          <w:jc w:val="center"/>
        </w:trPr>
        <w:tc>
          <w:tcPr>
            <w:tcW w:w="1699" w:type="dxa"/>
            <w:vAlign w:val="center"/>
          </w:tcPr>
          <w:p>
            <w:pPr>
              <w:pStyle w:val="113"/>
              <w:autoSpaceDE/>
              <w:autoSpaceDN/>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修正系数</w:t>
            </w:r>
          </w:p>
        </w:tc>
        <w:tc>
          <w:tcPr>
            <w:tcW w:w="1700" w:type="dxa"/>
            <w:vAlign w:val="center"/>
          </w:tcPr>
          <w:p>
            <w:pPr>
              <w:pStyle w:val="113"/>
              <w:autoSpaceDE/>
              <w:autoSpaceDN/>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1.00</w:t>
            </w:r>
          </w:p>
        </w:tc>
        <w:tc>
          <w:tcPr>
            <w:tcW w:w="1697" w:type="dxa"/>
            <w:vAlign w:val="center"/>
          </w:tcPr>
          <w:p>
            <w:pPr>
              <w:pStyle w:val="113"/>
              <w:autoSpaceDE/>
              <w:autoSpaceDN/>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1.0</w:t>
            </w:r>
            <w:r>
              <w:rPr>
                <w:rFonts w:hint="eastAsia" w:ascii="仿宋_GB2312" w:hAnsi="仿宋_GB2312" w:eastAsia="仿宋_GB2312" w:cs="仿宋_GB2312"/>
                <w:sz w:val="24"/>
                <w:lang w:val="en-US"/>
              </w:rPr>
              <w:t>6</w:t>
            </w:r>
          </w:p>
        </w:tc>
        <w:tc>
          <w:tcPr>
            <w:tcW w:w="1699" w:type="dxa"/>
            <w:vAlign w:val="center"/>
          </w:tcPr>
          <w:p>
            <w:pPr>
              <w:pStyle w:val="113"/>
              <w:autoSpaceDE/>
              <w:autoSpaceDN/>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rPr>
              <w:t>1.</w:t>
            </w:r>
            <w:r>
              <w:rPr>
                <w:rFonts w:hint="eastAsia" w:ascii="仿宋_GB2312" w:hAnsi="仿宋_GB2312" w:eastAsia="仿宋_GB2312" w:cs="仿宋_GB2312"/>
                <w:sz w:val="24"/>
                <w:lang w:val="en-US"/>
              </w:rPr>
              <w:t>09</w:t>
            </w:r>
          </w:p>
        </w:tc>
        <w:tc>
          <w:tcPr>
            <w:tcW w:w="1700" w:type="dxa"/>
            <w:vAlign w:val="center"/>
          </w:tcPr>
          <w:p>
            <w:pPr>
              <w:pStyle w:val="113"/>
              <w:autoSpaceDE/>
              <w:autoSpaceDN/>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rPr>
              <w:t>1.</w:t>
            </w:r>
            <w:r>
              <w:rPr>
                <w:rFonts w:hint="eastAsia" w:ascii="仿宋_GB2312" w:hAnsi="仿宋_GB2312" w:eastAsia="仿宋_GB2312" w:cs="仿宋_GB2312"/>
                <w:sz w:val="24"/>
                <w:lang w:val="en-US"/>
              </w:rPr>
              <w:t>12</w:t>
            </w:r>
          </w:p>
        </w:tc>
      </w:tr>
    </w:tbl>
    <w:p>
      <w:pPr>
        <w:numPr>
          <w:ilvl w:val="0"/>
          <w:numId w:val="2"/>
        </w:numPr>
        <w:tabs>
          <w:tab w:val="left" w:pos="0"/>
        </w:tabs>
        <w:spacing w:before="72" w:after="72"/>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其他个别因素修正系数</w:t>
      </w: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其他个别因素修正系数表</w:t>
      </w:r>
    </w:p>
    <w:tbl>
      <w:tblPr>
        <w:tblStyle w:val="47"/>
        <w:tblW w:w="90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36"/>
        <w:gridCol w:w="1425"/>
        <w:gridCol w:w="1165"/>
        <w:gridCol w:w="1363"/>
        <w:gridCol w:w="1363"/>
        <w:gridCol w:w="1423"/>
        <w:gridCol w:w="12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18" w:hRule="atLeast"/>
          <w:tblHeader/>
        </w:trPr>
        <w:tc>
          <w:tcPr>
            <w:tcW w:w="2461" w:type="dxa"/>
            <w:gridSpan w:val="2"/>
            <w:tcBorders>
              <w:top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指标标准</w:t>
            </w:r>
          </w:p>
        </w:tc>
        <w:tc>
          <w:tcPr>
            <w:tcW w:w="1165" w:type="dxa"/>
            <w:tcBorders>
              <w:top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优</w:t>
            </w:r>
          </w:p>
        </w:tc>
        <w:tc>
          <w:tcPr>
            <w:tcW w:w="1363" w:type="dxa"/>
            <w:tcBorders>
              <w:top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较优</w:t>
            </w:r>
          </w:p>
        </w:tc>
        <w:tc>
          <w:tcPr>
            <w:tcW w:w="1363" w:type="dxa"/>
            <w:tcBorders>
              <w:top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一般</w:t>
            </w:r>
          </w:p>
        </w:tc>
        <w:tc>
          <w:tcPr>
            <w:tcW w:w="1423" w:type="dxa"/>
            <w:tcBorders>
              <w:top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较劣</w:t>
            </w:r>
          </w:p>
        </w:tc>
        <w:tc>
          <w:tcPr>
            <w:tcW w:w="1299" w:type="dxa"/>
            <w:tcBorders>
              <w:top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360" w:hRule="atLeast"/>
        </w:trPr>
        <w:tc>
          <w:tcPr>
            <w:tcW w:w="1036" w:type="dxa"/>
            <w:vMerge w:val="restart"/>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宗地形状</w:t>
            </w:r>
          </w:p>
        </w:tc>
        <w:tc>
          <w:tcPr>
            <w:tcW w:w="1425"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指标说明</w:t>
            </w:r>
          </w:p>
        </w:tc>
        <w:tc>
          <w:tcPr>
            <w:tcW w:w="1165"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形状规</w:t>
            </w:r>
            <w:r>
              <w:rPr>
                <w:rFonts w:hint="eastAsia" w:ascii="仿宋_GB2312" w:hAnsi="仿宋_GB2312" w:eastAsia="仿宋_GB2312" w:cs="仿宋_GB2312"/>
                <w:spacing w:val="-5"/>
                <w:sz w:val="24"/>
              </w:rPr>
              <w:t>则，对土地利用极</w:t>
            </w:r>
            <w:r>
              <w:rPr>
                <w:rFonts w:hint="eastAsia" w:ascii="仿宋_GB2312" w:hAnsi="仿宋_GB2312" w:eastAsia="仿宋_GB2312" w:cs="仿宋_GB2312"/>
                <w:sz w:val="24"/>
              </w:rPr>
              <w:t>为有利</w:t>
            </w:r>
          </w:p>
        </w:tc>
        <w:tc>
          <w:tcPr>
            <w:tcW w:w="1363"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pacing w:val="-1"/>
                <w:sz w:val="24"/>
              </w:rPr>
              <w:t>形状较规</w:t>
            </w:r>
            <w:r>
              <w:rPr>
                <w:rFonts w:hint="eastAsia" w:ascii="仿宋_GB2312" w:hAnsi="仿宋_GB2312" w:eastAsia="仿宋_GB2312" w:cs="仿宋_GB2312"/>
                <w:spacing w:val="-5"/>
                <w:sz w:val="24"/>
              </w:rPr>
              <w:t>则，对土地</w:t>
            </w:r>
            <w:r>
              <w:rPr>
                <w:rFonts w:hint="eastAsia" w:ascii="仿宋_GB2312" w:hAnsi="仿宋_GB2312" w:eastAsia="仿宋_GB2312" w:cs="仿宋_GB2312"/>
                <w:spacing w:val="-4"/>
                <w:sz w:val="24"/>
              </w:rPr>
              <w:t>利用较为有</w:t>
            </w:r>
            <w:r>
              <w:rPr>
                <w:rFonts w:hint="eastAsia" w:ascii="仿宋_GB2312" w:hAnsi="仿宋_GB2312" w:eastAsia="仿宋_GB2312" w:cs="仿宋_GB2312"/>
                <w:sz w:val="24"/>
              </w:rPr>
              <w:t>利</w:t>
            </w:r>
          </w:p>
        </w:tc>
        <w:tc>
          <w:tcPr>
            <w:tcW w:w="1363"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形状基本规则，对土地利用无不良影响</w:t>
            </w:r>
          </w:p>
        </w:tc>
        <w:tc>
          <w:tcPr>
            <w:tcW w:w="1423"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形状较不规则，对土地利用有一定影响</w:t>
            </w:r>
          </w:p>
        </w:tc>
        <w:tc>
          <w:tcPr>
            <w:tcW w:w="1299"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形状不规则，对土地利用产生严重影响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44" w:hRule="atLeast"/>
        </w:trPr>
        <w:tc>
          <w:tcPr>
            <w:tcW w:w="1036" w:type="dxa"/>
            <w:vMerge w:val="continue"/>
            <w:vAlign w:val="center"/>
          </w:tcPr>
          <w:p>
            <w:pPr>
              <w:spacing w:line="240" w:lineRule="auto"/>
              <w:ind w:firstLine="0" w:firstLineChars="0"/>
              <w:jc w:val="center"/>
              <w:rPr>
                <w:rFonts w:ascii="仿宋_GB2312" w:hAnsi="仿宋_GB2312" w:eastAsia="仿宋_GB2312" w:cs="仿宋_GB2312"/>
                <w:sz w:val="24"/>
              </w:rPr>
            </w:pPr>
          </w:p>
        </w:tc>
        <w:tc>
          <w:tcPr>
            <w:tcW w:w="1425"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修正系数</w:t>
            </w:r>
          </w:p>
        </w:tc>
        <w:tc>
          <w:tcPr>
            <w:tcW w:w="1165" w:type="dxa"/>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lang w:val="en-US"/>
              </w:rPr>
              <w:t>2%</w:t>
            </w:r>
          </w:p>
        </w:tc>
        <w:tc>
          <w:tcPr>
            <w:tcW w:w="1363" w:type="dxa"/>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lang w:val="en-US"/>
              </w:rPr>
              <w:t>1%</w:t>
            </w:r>
          </w:p>
        </w:tc>
        <w:tc>
          <w:tcPr>
            <w:tcW w:w="1363" w:type="dxa"/>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lang w:val="en-US"/>
              </w:rPr>
              <w:t>0.00%</w:t>
            </w:r>
          </w:p>
        </w:tc>
        <w:tc>
          <w:tcPr>
            <w:tcW w:w="1423" w:type="dxa"/>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lang w:val="en-US"/>
              </w:rPr>
              <w:t>-1%</w:t>
            </w:r>
          </w:p>
        </w:tc>
        <w:tc>
          <w:tcPr>
            <w:tcW w:w="1299" w:type="dxa"/>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lang w:val="en-US"/>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44" w:hRule="atLeast"/>
        </w:trPr>
        <w:tc>
          <w:tcPr>
            <w:tcW w:w="1036" w:type="dxa"/>
            <w:vMerge w:val="restart"/>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宗地地基承载力</w:t>
            </w:r>
          </w:p>
        </w:tc>
        <w:tc>
          <w:tcPr>
            <w:tcW w:w="1425"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指标说明</w:t>
            </w:r>
          </w:p>
        </w:tc>
        <w:tc>
          <w:tcPr>
            <w:tcW w:w="1165"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宗地地基承载力好</w:t>
            </w:r>
          </w:p>
        </w:tc>
        <w:tc>
          <w:tcPr>
            <w:tcW w:w="1363"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宗地地基承载力较好</w:t>
            </w:r>
          </w:p>
        </w:tc>
        <w:tc>
          <w:tcPr>
            <w:tcW w:w="1363"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宗地地基承载力适宜</w:t>
            </w:r>
          </w:p>
        </w:tc>
        <w:tc>
          <w:tcPr>
            <w:tcW w:w="1423"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宗地地基承载力较差</w:t>
            </w:r>
          </w:p>
        </w:tc>
        <w:tc>
          <w:tcPr>
            <w:tcW w:w="1299"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宗地地基承载力差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46" w:hRule="atLeast"/>
        </w:trPr>
        <w:tc>
          <w:tcPr>
            <w:tcW w:w="1036" w:type="dxa"/>
            <w:vMerge w:val="continue"/>
            <w:vAlign w:val="center"/>
          </w:tcPr>
          <w:p>
            <w:pPr>
              <w:spacing w:line="240" w:lineRule="auto"/>
              <w:ind w:firstLine="0" w:firstLineChars="0"/>
              <w:jc w:val="center"/>
              <w:rPr>
                <w:rFonts w:ascii="仿宋_GB2312" w:hAnsi="仿宋_GB2312" w:eastAsia="仿宋_GB2312" w:cs="仿宋_GB2312"/>
                <w:sz w:val="24"/>
              </w:rPr>
            </w:pPr>
          </w:p>
        </w:tc>
        <w:tc>
          <w:tcPr>
            <w:tcW w:w="1425"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修正系数</w:t>
            </w:r>
          </w:p>
        </w:tc>
        <w:tc>
          <w:tcPr>
            <w:tcW w:w="1165"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lang w:val="en-US"/>
              </w:rPr>
              <w:t>2%</w:t>
            </w:r>
          </w:p>
        </w:tc>
        <w:tc>
          <w:tcPr>
            <w:tcW w:w="1363"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lang w:val="en-US"/>
              </w:rPr>
              <w:t>1%</w:t>
            </w:r>
          </w:p>
        </w:tc>
        <w:tc>
          <w:tcPr>
            <w:tcW w:w="1363"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lang w:val="en-US"/>
              </w:rPr>
              <w:t>0.00%</w:t>
            </w:r>
          </w:p>
        </w:tc>
        <w:tc>
          <w:tcPr>
            <w:tcW w:w="1423"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lang w:val="en-US"/>
              </w:rPr>
              <w:t>-1%</w:t>
            </w:r>
          </w:p>
        </w:tc>
        <w:tc>
          <w:tcPr>
            <w:tcW w:w="1299"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lang w:val="en-US"/>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089" w:hRule="atLeast"/>
        </w:trPr>
        <w:tc>
          <w:tcPr>
            <w:tcW w:w="1036" w:type="dxa"/>
            <w:vMerge w:val="restart"/>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宗地大小</w:t>
            </w:r>
          </w:p>
        </w:tc>
        <w:tc>
          <w:tcPr>
            <w:tcW w:w="1425"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指标说明</w:t>
            </w:r>
          </w:p>
        </w:tc>
        <w:tc>
          <w:tcPr>
            <w:tcW w:w="1165"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宗地面积大，利于开发利用</w:t>
            </w:r>
          </w:p>
        </w:tc>
        <w:tc>
          <w:tcPr>
            <w:tcW w:w="1363"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宗地面积较大，较利于开发利用</w:t>
            </w:r>
          </w:p>
        </w:tc>
        <w:tc>
          <w:tcPr>
            <w:tcW w:w="1363"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宗地面积适中，开发利用情况一般</w:t>
            </w:r>
          </w:p>
        </w:tc>
        <w:tc>
          <w:tcPr>
            <w:tcW w:w="1423"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宗地面积偏小，较不利于开发利用</w:t>
            </w:r>
          </w:p>
        </w:tc>
        <w:tc>
          <w:tcPr>
            <w:tcW w:w="1299"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宗地面积过小，不利于开发利用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44" w:hRule="atLeast"/>
        </w:trPr>
        <w:tc>
          <w:tcPr>
            <w:tcW w:w="1036" w:type="dxa"/>
            <w:vMerge w:val="continue"/>
            <w:vAlign w:val="center"/>
          </w:tcPr>
          <w:p>
            <w:pPr>
              <w:spacing w:line="240" w:lineRule="auto"/>
              <w:ind w:firstLine="0" w:firstLineChars="0"/>
              <w:jc w:val="center"/>
              <w:rPr>
                <w:rFonts w:ascii="仿宋_GB2312" w:hAnsi="仿宋_GB2312" w:eastAsia="仿宋_GB2312" w:cs="仿宋_GB2312"/>
                <w:sz w:val="24"/>
              </w:rPr>
            </w:pPr>
          </w:p>
        </w:tc>
        <w:tc>
          <w:tcPr>
            <w:tcW w:w="1425"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修正系数</w:t>
            </w:r>
          </w:p>
        </w:tc>
        <w:tc>
          <w:tcPr>
            <w:tcW w:w="1165" w:type="dxa"/>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lang w:val="en-US"/>
              </w:rPr>
              <w:t>2%</w:t>
            </w:r>
          </w:p>
        </w:tc>
        <w:tc>
          <w:tcPr>
            <w:tcW w:w="1363" w:type="dxa"/>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lang w:val="en-US"/>
              </w:rPr>
              <w:t>1%</w:t>
            </w:r>
          </w:p>
        </w:tc>
        <w:tc>
          <w:tcPr>
            <w:tcW w:w="1363"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lang w:val="en-US"/>
              </w:rPr>
              <w:t>0.00%</w:t>
            </w:r>
          </w:p>
        </w:tc>
        <w:tc>
          <w:tcPr>
            <w:tcW w:w="1423"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lang w:val="en-US"/>
              </w:rPr>
              <w:t>-1%</w:t>
            </w:r>
          </w:p>
        </w:tc>
        <w:tc>
          <w:tcPr>
            <w:tcW w:w="1299"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lang w:val="en-US"/>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8" w:hRule="atLeast"/>
        </w:trPr>
        <w:tc>
          <w:tcPr>
            <w:tcW w:w="1036" w:type="dxa"/>
            <w:vMerge w:val="restart"/>
            <w:vAlign w:val="center"/>
          </w:tcPr>
          <w:p>
            <w:pPr>
              <w:spacing w:before="72" w:after="72"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地形</w:t>
            </w:r>
          </w:p>
        </w:tc>
        <w:tc>
          <w:tcPr>
            <w:tcW w:w="1425" w:type="dxa"/>
            <w:vAlign w:val="center"/>
          </w:tcPr>
          <w:p>
            <w:pPr>
              <w:snapToGrid w:val="0"/>
              <w:spacing w:before="72" w:after="72"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napToGrid w:val="0"/>
                <w:kern w:val="0"/>
                <w:sz w:val="24"/>
              </w:rPr>
              <w:t>指标说明</w:t>
            </w:r>
          </w:p>
        </w:tc>
        <w:tc>
          <w:tcPr>
            <w:tcW w:w="1165" w:type="dxa"/>
            <w:vAlign w:val="center"/>
          </w:tcPr>
          <w:p>
            <w:pPr>
              <w:autoSpaceDE/>
              <w:autoSpaceDN/>
              <w:snapToGrid w:val="0"/>
              <w:spacing w:line="240" w:lineRule="auto"/>
              <w:ind w:firstLine="0" w:firstLineChars="0"/>
              <w:jc w:val="center"/>
              <w:rPr>
                <w:rFonts w:ascii="仿宋_GB2312" w:hAnsi="仿宋_GB2312" w:eastAsia="仿宋_GB2312" w:cs="仿宋_GB2312"/>
                <w:sz w:val="24"/>
                <w:lang w:bidi="zh-CN"/>
              </w:rPr>
            </w:pPr>
            <w:r>
              <w:rPr>
                <w:rFonts w:hint="eastAsia" w:ascii="仿宋_GB2312" w:hAnsi="仿宋_GB2312" w:eastAsia="仿宋_GB2312" w:cs="仿宋_GB2312"/>
                <w:sz w:val="24"/>
                <w:lang w:val="zh-CN" w:bidi="zh-CN"/>
              </w:rPr>
              <w:t>地形平坦，可直接开发利用</w:t>
            </w:r>
          </w:p>
        </w:tc>
        <w:tc>
          <w:tcPr>
            <w:tcW w:w="1363" w:type="dxa"/>
            <w:vAlign w:val="center"/>
          </w:tcPr>
          <w:p>
            <w:pPr>
              <w:autoSpaceDE/>
              <w:autoSpaceDN/>
              <w:snapToGrid w:val="0"/>
              <w:spacing w:line="240" w:lineRule="auto"/>
              <w:ind w:firstLine="0" w:firstLineChars="0"/>
              <w:jc w:val="center"/>
              <w:rPr>
                <w:rFonts w:ascii="仿宋_GB2312" w:hAnsi="仿宋_GB2312" w:eastAsia="仿宋_GB2312" w:cs="仿宋_GB2312"/>
                <w:sz w:val="24"/>
                <w:lang w:bidi="zh-CN"/>
              </w:rPr>
            </w:pPr>
            <w:r>
              <w:rPr>
                <w:rFonts w:hint="eastAsia" w:ascii="仿宋_GB2312" w:hAnsi="仿宋_GB2312" w:eastAsia="仿宋_GB2312" w:cs="仿宋_GB2312"/>
                <w:sz w:val="24"/>
                <w:lang w:val="zh-CN" w:bidi="zh-CN"/>
              </w:rPr>
              <w:t>地形较平坦</w:t>
            </w:r>
          </w:p>
        </w:tc>
        <w:tc>
          <w:tcPr>
            <w:tcW w:w="1363" w:type="dxa"/>
            <w:vAlign w:val="center"/>
          </w:tcPr>
          <w:p>
            <w:pPr>
              <w:autoSpaceDE/>
              <w:autoSpaceDN/>
              <w:snapToGrid w:val="0"/>
              <w:spacing w:line="240" w:lineRule="auto"/>
              <w:ind w:firstLine="0" w:firstLineChars="0"/>
              <w:jc w:val="center"/>
              <w:rPr>
                <w:rFonts w:ascii="仿宋_GB2312" w:hAnsi="仿宋_GB2312" w:eastAsia="仿宋_GB2312" w:cs="仿宋_GB2312"/>
                <w:sz w:val="24"/>
                <w:lang w:bidi="zh-CN"/>
              </w:rPr>
            </w:pPr>
            <w:r>
              <w:rPr>
                <w:rFonts w:hint="eastAsia" w:ascii="仿宋_GB2312" w:hAnsi="仿宋_GB2312" w:eastAsia="仿宋_GB2312" w:cs="仿宋_GB2312"/>
                <w:sz w:val="24"/>
                <w:lang w:val="zh-CN" w:bidi="zh-CN"/>
              </w:rPr>
              <w:t>地形对土地利用无不良影响</w:t>
            </w:r>
          </w:p>
        </w:tc>
        <w:tc>
          <w:tcPr>
            <w:tcW w:w="1423" w:type="dxa"/>
            <w:vAlign w:val="center"/>
          </w:tcPr>
          <w:p>
            <w:pPr>
              <w:autoSpaceDE/>
              <w:autoSpaceDN/>
              <w:snapToGrid w:val="0"/>
              <w:spacing w:line="240" w:lineRule="auto"/>
              <w:ind w:firstLine="0" w:firstLineChars="0"/>
              <w:jc w:val="center"/>
              <w:rPr>
                <w:rFonts w:ascii="仿宋_GB2312" w:hAnsi="仿宋_GB2312" w:eastAsia="仿宋_GB2312" w:cs="仿宋_GB2312"/>
                <w:sz w:val="24"/>
                <w:lang w:bidi="zh-CN"/>
              </w:rPr>
            </w:pPr>
            <w:r>
              <w:rPr>
                <w:rFonts w:hint="eastAsia" w:ascii="仿宋_GB2312" w:hAnsi="仿宋_GB2312" w:eastAsia="仿宋_GB2312" w:cs="仿宋_GB2312"/>
                <w:sz w:val="24"/>
                <w:lang w:val="zh-CN" w:bidi="zh-CN"/>
              </w:rPr>
              <w:t>有一定地形坡度和起伏，对土地利用有一定影响</w:t>
            </w:r>
          </w:p>
        </w:tc>
        <w:tc>
          <w:tcPr>
            <w:tcW w:w="1299" w:type="dxa"/>
            <w:vAlign w:val="center"/>
          </w:tcPr>
          <w:p>
            <w:pPr>
              <w:autoSpaceDE/>
              <w:autoSpaceDN/>
              <w:snapToGrid w:val="0"/>
              <w:spacing w:line="240" w:lineRule="auto"/>
              <w:ind w:firstLine="0" w:firstLineChars="0"/>
              <w:jc w:val="center"/>
              <w:rPr>
                <w:rFonts w:ascii="仿宋_GB2312" w:hAnsi="仿宋_GB2312" w:eastAsia="仿宋_GB2312" w:cs="仿宋_GB2312"/>
                <w:sz w:val="24"/>
                <w:lang w:bidi="zh-CN"/>
              </w:rPr>
            </w:pPr>
            <w:r>
              <w:rPr>
                <w:rFonts w:hint="eastAsia" w:ascii="仿宋_GB2312" w:hAnsi="仿宋_GB2312" w:eastAsia="仿宋_GB2312" w:cs="仿宋_GB2312"/>
                <w:sz w:val="24"/>
                <w:lang w:val="zh-CN" w:bidi="zh-CN"/>
              </w:rPr>
              <w:t>地形起伏、坡度较大，对土地利用产生严重影响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44" w:hRule="atLeast"/>
        </w:trPr>
        <w:tc>
          <w:tcPr>
            <w:tcW w:w="1036" w:type="dxa"/>
            <w:vMerge w:val="continue"/>
            <w:vAlign w:val="center"/>
          </w:tcPr>
          <w:p>
            <w:pPr>
              <w:spacing w:before="72" w:after="72" w:line="240" w:lineRule="auto"/>
              <w:jc w:val="center"/>
              <w:rPr>
                <w:rFonts w:ascii="仿宋_GB2312" w:hAnsi="仿宋_GB2312" w:eastAsia="仿宋_GB2312" w:cs="仿宋_GB2312"/>
                <w:sz w:val="24"/>
              </w:rPr>
            </w:pPr>
          </w:p>
        </w:tc>
        <w:tc>
          <w:tcPr>
            <w:tcW w:w="1425" w:type="dxa"/>
            <w:vAlign w:val="center"/>
          </w:tcPr>
          <w:p>
            <w:pPr>
              <w:spacing w:before="72" w:after="72"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修正系数</w:t>
            </w:r>
          </w:p>
        </w:tc>
        <w:tc>
          <w:tcPr>
            <w:tcW w:w="1165" w:type="dxa"/>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lang w:val="en-US"/>
              </w:rPr>
              <w:t>2%</w:t>
            </w:r>
          </w:p>
        </w:tc>
        <w:tc>
          <w:tcPr>
            <w:tcW w:w="1363" w:type="dxa"/>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lang w:val="en-US"/>
              </w:rPr>
              <w:t>1%</w:t>
            </w:r>
          </w:p>
        </w:tc>
        <w:tc>
          <w:tcPr>
            <w:tcW w:w="1363" w:type="dxa"/>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lang w:val="en-US"/>
              </w:rPr>
              <w:t>0.00%</w:t>
            </w:r>
          </w:p>
        </w:tc>
        <w:tc>
          <w:tcPr>
            <w:tcW w:w="1423" w:type="dxa"/>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lang w:val="en-US"/>
              </w:rPr>
              <w:t>-1%</w:t>
            </w:r>
          </w:p>
        </w:tc>
        <w:tc>
          <w:tcPr>
            <w:tcW w:w="1299" w:type="dxa"/>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lang w:val="en-US"/>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44" w:hRule="atLeast"/>
        </w:trPr>
        <w:tc>
          <w:tcPr>
            <w:tcW w:w="1036" w:type="dxa"/>
            <w:vMerge w:val="restart"/>
            <w:vAlign w:val="center"/>
          </w:tcPr>
          <w:p>
            <w:pPr>
              <w:spacing w:before="72" w:after="72"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地势</w:t>
            </w:r>
          </w:p>
        </w:tc>
        <w:tc>
          <w:tcPr>
            <w:tcW w:w="1425" w:type="dxa"/>
            <w:vAlign w:val="center"/>
          </w:tcPr>
          <w:p>
            <w:pPr>
              <w:spacing w:before="72" w:after="72"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指标说明</w:t>
            </w:r>
          </w:p>
        </w:tc>
        <w:tc>
          <w:tcPr>
            <w:tcW w:w="1165" w:type="dxa"/>
            <w:vAlign w:val="center"/>
          </w:tcPr>
          <w:p>
            <w:pPr>
              <w:autoSpaceDE/>
              <w:autoSpaceDN/>
              <w:snapToGrid w:val="0"/>
              <w:spacing w:line="240" w:lineRule="auto"/>
              <w:ind w:firstLine="0" w:firstLineChars="0"/>
              <w:jc w:val="center"/>
              <w:rPr>
                <w:rFonts w:ascii="仿宋_GB2312" w:hAnsi="仿宋_GB2312" w:eastAsia="仿宋_GB2312" w:cs="仿宋_GB2312"/>
                <w:sz w:val="24"/>
                <w:lang w:bidi="zh-CN"/>
              </w:rPr>
            </w:pPr>
            <w:r>
              <w:rPr>
                <w:rFonts w:hint="eastAsia" w:ascii="仿宋_GB2312" w:hAnsi="仿宋_GB2312" w:eastAsia="仿宋_GB2312" w:cs="仿宋_GB2312"/>
                <w:sz w:val="24"/>
                <w:lang w:val="zh-CN" w:bidi="zh-CN"/>
              </w:rPr>
              <w:t>地势较高，排水通风条件好，出入口设置仍然便利</w:t>
            </w:r>
          </w:p>
        </w:tc>
        <w:tc>
          <w:tcPr>
            <w:tcW w:w="1363" w:type="dxa"/>
            <w:vAlign w:val="center"/>
          </w:tcPr>
          <w:p>
            <w:pPr>
              <w:autoSpaceDE/>
              <w:autoSpaceDN/>
              <w:snapToGrid w:val="0"/>
              <w:spacing w:line="240" w:lineRule="auto"/>
              <w:ind w:firstLine="0" w:firstLineChars="0"/>
              <w:jc w:val="center"/>
              <w:rPr>
                <w:rFonts w:ascii="仿宋_GB2312" w:hAnsi="仿宋_GB2312" w:eastAsia="仿宋_GB2312" w:cs="仿宋_GB2312"/>
                <w:sz w:val="24"/>
                <w:lang w:bidi="zh-CN"/>
              </w:rPr>
            </w:pPr>
            <w:r>
              <w:rPr>
                <w:rFonts w:hint="eastAsia" w:ascii="仿宋_GB2312" w:hAnsi="仿宋_GB2312" w:eastAsia="仿宋_GB2312" w:cs="仿宋_GB2312"/>
                <w:sz w:val="24"/>
                <w:lang w:val="zh-CN" w:bidi="zh-CN"/>
              </w:rPr>
              <w:t>地势一般，通风排水条件一般，不影响出入口设置</w:t>
            </w:r>
          </w:p>
        </w:tc>
        <w:tc>
          <w:tcPr>
            <w:tcW w:w="1363" w:type="dxa"/>
            <w:vAlign w:val="center"/>
          </w:tcPr>
          <w:p>
            <w:pPr>
              <w:autoSpaceDE/>
              <w:autoSpaceDN/>
              <w:snapToGrid w:val="0"/>
              <w:spacing w:line="240" w:lineRule="auto"/>
              <w:ind w:firstLine="0" w:firstLineChars="0"/>
              <w:jc w:val="center"/>
              <w:rPr>
                <w:rFonts w:ascii="仿宋_GB2312" w:hAnsi="仿宋_GB2312" w:eastAsia="仿宋_GB2312" w:cs="仿宋_GB2312"/>
                <w:sz w:val="24"/>
                <w:lang w:bidi="zh-CN"/>
              </w:rPr>
            </w:pPr>
            <w:r>
              <w:rPr>
                <w:rFonts w:hint="eastAsia" w:ascii="仿宋_GB2312" w:hAnsi="仿宋_GB2312" w:eastAsia="仿宋_GB2312" w:cs="仿宋_GB2312"/>
                <w:sz w:val="24"/>
                <w:lang w:val="zh-CN" w:bidi="zh-CN"/>
              </w:rPr>
              <w:t>地势一般，排水通风条件一般</w:t>
            </w:r>
          </w:p>
        </w:tc>
        <w:tc>
          <w:tcPr>
            <w:tcW w:w="1423" w:type="dxa"/>
            <w:vAlign w:val="center"/>
          </w:tcPr>
          <w:p>
            <w:pPr>
              <w:autoSpaceDE/>
              <w:autoSpaceDN/>
              <w:snapToGrid w:val="0"/>
              <w:spacing w:line="240" w:lineRule="auto"/>
              <w:ind w:firstLine="0" w:firstLineChars="0"/>
              <w:jc w:val="center"/>
              <w:rPr>
                <w:rFonts w:ascii="仿宋_GB2312" w:hAnsi="仿宋_GB2312" w:eastAsia="仿宋_GB2312" w:cs="仿宋_GB2312"/>
                <w:sz w:val="24"/>
                <w:lang w:bidi="zh-CN"/>
              </w:rPr>
            </w:pPr>
            <w:r>
              <w:rPr>
                <w:rFonts w:hint="eastAsia" w:ascii="仿宋_GB2312" w:hAnsi="仿宋_GB2312" w:eastAsia="仿宋_GB2312" w:cs="仿宋_GB2312"/>
                <w:sz w:val="24"/>
                <w:lang w:val="zh-CN" w:bidi="zh-CN"/>
              </w:rPr>
              <w:t>地势偏高，对出入通道设置有一定影响</w:t>
            </w:r>
          </w:p>
        </w:tc>
        <w:tc>
          <w:tcPr>
            <w:tcW w:w="1299" w:type="dxa"/>
            <w:vAlign w:val="center"/>
          </w:tcPr>
          <w:p>
            <w:pPr>
              <w:autoSpaceDE/>
              <w:autoSpaceDN/>
              <w:snapToGrid w:val="0"/>
              <w:spacing w:line="240" w:lineRule="auto"/>
              <w:ind w:firstLine="0" w:firstLineChars="0"/>
              <w:jc w:val="center"/>
              <w:rPr>
                <w:rFonts w:ascii="仿宋_GB2312" w:hAnsi="仿宋_GB2312" w:eastAsia="仿宋_GB2312" w:cs="仿宋_GB2312"/>
                <w:sz w:val="24"/>
                <w:lang w:bidi="zh-CN"/>
              </w:rPr>
            </w:pPr>
            <w:r>
              <w:rPr>
                <w:rFonts w:hint="eastAsia" w:ascii="仿宋_GB2312" w:hAnsi="仿宋_GB2312" w:eastAsia="仿宋_GB2312" w:cs="仿宋_GB2312"/>
                <w:sz w:val="24"/>
                <w:lang w:val="zh-CN" w:bidi="zh-CN"/>
              </w:rPr>
              <w:t>地势偏低，不利于通风排水和出入口设置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44" w:hRule="atLeast"/>
        </w:trPr>
        <w:tc>
          <w:tcPr>
            <w:tcW w:w="1036" w:type="dxa"/>
            <w:vMerge w:val="continue"/>
            <w:vAlign w:val="center"/>
          </w:tcPr>
          <w:p>
            <w:pPr>
              <w:spacing w:before="72" w:after="72" w:line="240" w:lineRule="auto"/>
              <w:jc w:val="center"/>
              <w:rPr>
                <w:rFonts w:ascii="仿宋_GB2312" w:hAnsi="仿宋_GB2312" w:eastAsia="仿宋_GB2312" w:cs="仿宋_GB2312"/>
                <w:sz w:val="24"/>
              </w:rPr>
            </w:pPr>
          </w:p>
        </w:tc>
        <w:tc>
          <w:tcPr>
            <w:tcW w:w="1425" w:type="dxa"/>
            <w:vAlign w:val="center"/>
          </w:tcPr>
          <w:p>
            <w:pPr>
              <w:spacing w:before="72" w:after="72"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修正系数</w:t>
            </w:r>
          </w:p>
        </w:tc>
        <w:tc>
          <w:tcPr>
            <w:tcW w:w="1165" w:type="dxa"/>
            <w:vAlign w:val="center"/>
          </w:tcPr>
          <w:p>
            <w:pPr>
              <w:pStyle w:val="113"/>
              <w:spacing w:line="240" w:lineRule="auto"/>
              <w:ind w:firstLine="0" w:firstLineChars="0"/>
              <w:rPr>
                <w:rFonts w:ascii="仿宋_GB2312" w:hAnsi="仿宋_GB2312" w:eastAsia="仿宋_GB2312" w:cs="仿宋_GB2312"/>
                <w:snapToGrid w:val="0"/>
                <w:kern w:val="0"/>
                <w:sz w:val="24"/>
                <w:lang w:val="en-US" w:bidi="ar-SA"/>
              </w:rPr>
            </w:pPr>
            <w:r>
              <w:rPr>
                <w:rFonts w:hint="eastAsia" w:ascii="仿宋_GB2312" w:hAnsi="仿宋_GB2312" w:eastAsia="仿宋_GB2312" w:cs="仿宋_GB2312"/>
                <w:sz w:val="24"/>
                <w:lang w:val="en-US"/>
              </w:rPr>
              <w:t>2%</w:t>
            </w:r>
          </w:p>
        </w:tc>
        <w:tc>
          <w:tcPr>
            <w:tcW w:w="1363" w:type="dxa"/>
            <w:vAlign w:val="center"/>
          </w:tcPr>
          <w:p>
            <w:pPr>
              <w:pStyle w:val="113"/>
              <w:spacing w:line="240" w:lineRule="auto"/>
              <w:ind w:firstLine="0" w:firstLineChars="0"/>
              <w:rPr>
                <w:rFonts w:ascii="仿宋_GB2312" w:hAnsi="仿宋_GB2312" w:eastAsia="仿宋_GB2312" w:cs="仿宋_GB2312"/>
                <w:snapToGrid w:val="0"/>
                <w:kern w:val="0"/>
                <w:sz w:val="24"/>
                <w:lang w:val="en-US" w:bidi="ar-SA"/>
              </w:rPr>
            </w:pPr>
            <w:r>
              <w:rPr>
                <w:rFonts w:hint="eastAsia" w:ascii="仿宋_GB2312" w:hAnsi="仿宋_GB2312" w:eastAsia="仿宋_GB2312" w:cs="仿宋_GB2312"/>
                <w:sz w:val="24"/>
                <w:lang w:val="en-US"/>
              </w:rPr>
              <w:t>1%</w:t>
            </w:r>
          </w:p>
        </w:tc>
        <w:tc>
          <w:tcPr>
            <w:tcW w:w="1363" w:type="dxa"/>
            <w:vAlign w:val="center"/>
          </w:tcPr>
          <w:p>
            <w:pPr>
              <w:pStyle w:val="113"/>
              <w:spacing w:line="240" w:lineRule="auto"/>
              <w:ind w:firstLine="0" w:firstLineChars="0"/>
              <w:rPr>
                <w:rFonts w:ascii="仿宋_GB2312" w:hAnsi="仿宋_GB2312" w:eastAsia="仿宋_GB2312" w:cs="仿宋_GB2312"/>
                <w:snapToGrid w:val="0"/>
                <w:kern w:val="0"/>
                <w:sz w:val="24"/>
                <w:lang w:val="en-US" w:bidi="ar-SA"/>
              </w:rPr>
            </w:pPr>
            <w:r>
              <w:rPr>
                <w:rFonts w:hint="eastAsia" w:ascii="仿宋_GB2312" w:hAnsi="仿宋_GB2312" w:eastAsia="仿宋_GB2312" w:cs="仿宋_GB2312"/>
                <w:sz w:val="24"/>
                <w:lang w:val="en-US"/>
              </w:rPr>
              <w:t>0.00%</w:t>
            </w:r>
          </w:p>
        </w:tc>
        <w:tc>
          <w:tcPr>
            <w:tcW w:w="1423" w:type="dxa"/>
            <w:vAlign w:val="center"/>
          </w:tcPr>
          <w:p>
            <w:pPr>
              <w:pStyle w:val="113"/>
              <w:spacing w:line="240" w:lineRule="auto"/>
              <w:ind w:firstLine="0" w:firstLineChars="0"/>
              <w:rPr>
                <w:rFonts w:ascii="仿宋_GB2312" w:hAnsi="仿宋_GB2312" w:eastAsia="仿宋_GB2312" w:cs="仿宋_GB2312"/>
                <w:snapToGrid w:val="0"/>
                <w:kern w:val="0"/>
                <w:sz w:val="24"/>
                <w:lang w:val="en-US" w:bidi="ar-SA"/>
              </w:rPr>
            </w:pPr>
            <w:r>
              <w:rPr>
                <w:rFonts w:hint="eastAsia" w:ascii="仿宋_GB2312" w:hAnsi="仿宋_GB2312" w:eastAsia="仿宋_GB2312" w:cs="仿宋_GB2312"/>
                <w:sz w:val="24"/>
                <w:lang w:val="en-US"/>
              </w:rPr>
              <w:t>-1%</w:t>
            </w:r>
          </w:p>
        </w:tc>
        <w:tc>
          <w:tcPr>
            <w:tcW w:w="1299" w:type="dxa"/>
            <w:vAlign w:val="center"/>
          </w:tcPr>
          <w:p>
            <w:pPr>
              <w:pStyle w:val="113"/>
              <w:spacing w:line="240" w:lineRule="auto"/>
              <w:ind w:firstLine="0" w:firstLineChars="0"/>
              <w:rPr>
                <w:rFonts w:ascii="仿宋_GB2312" w:hAnsi="仿宋_GB2312" w:eastAsia="仿宋_GB2312" w:cs="仿宋_GB2312"/>
                <w:snapToGrid w:val="0"/>
                <w:kern w:val="0"/>
                <w:sz w:val="24"/>
                <w:lang w:val="en-US" w:bidi="ar-SA"/>
              </w:rPr>
            </w:pPr>
            <w:r>
              <w:rPr>
                <w:rFonts w:hint="eastAsia" w:ascii="仿宋_GB2312" w:hAnsi="仿宋_GB2312" w:eastAsia="仿宋_GB2312" w:cs="仿宋_GB2312"/>
                <w:sz w:val="24"/>
                <w:lang w:val="en-US"/>
              </w:rPr>
              <w:t>-2%</w:t>
            </w:r>
          </w:p>
        </w:tc>
      </w:tr>
    </w:tbl>
    <w:p>
      <w:pPr>
        <w:numPr>
          <w:ilvl w:val="0"/>
          <w:numId w:val="2"/>
        </w:numPr>
        <w:tabs>
          <w:tab w:val="left" w:pos="0"/>
        </w:tabs>
        <w:spacing w:before="72" w:after="72"/>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土地剩余使用年限修正系数</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土地剩余使用年期修正系数的计算公式为：</w:t>
      </w:r>
    </w:p>
    <w:p>
      <w:pPr>
        <w:spacing w:line="240" w:lineRule="auto"/>
        <w:ind w:firstLine="0" w:firstLineChars="0"/>
        <w:jc w:val="center"/>
        <w:rPr>
          <w:rFonts w:cs="仿宋"/>
          <w:position w:val="-36"/>
        </w:rPr>
      </w:pPr>
      <w:r>
        <w:rPr>
          <w:rFonts w:hint="eastAsia" w:cs="仿宋"/>
          <w:position w:val="-36"/>
        </w:rPr>
        <w:object>
          <v:shape id="_x0000_i1025" o:spt="75" type="#_x0000_t75" style="height:41.9pt;width:165.5pt;" o:ole="t" filled="f" o:preferrelative="t" stroked="f" coordsize="21600,21600">
            <v:path/>
            <v:fill on="f" focussize="0,0"/>
            <v:stroke on="f" joinstyle="miter"/>
            <v:imagedata r:id="rId15" o:title=""/>
            <o:lock v:ext="edit" aspectratio="t"/>
            <w10:wrap type="none"/>
            <w10:anchorlock/>
          </v:shape>
          <o:OLEObject Type="Embed" ProgID="Equation.3" ShapeID="_x0000_i1025" DrawAspect="Content" ObjectID="_1468075725" r:id="rId14">
            <o:LockedField>false</o:LockedField>
          </o:OLEObject>
        </w:object>
      </w:r>
    </w:p>
    <w:p>
      <w:pPr>
        <w:rPr>
          <w:rFonts w:ascii="仿宋_GB2312" w:hAnsi="仿宋_GB2312" w:eastAsia="仿宋_GB2312" w:cs="仿宋_GB2312"/>
          <w:sz w:val="24"/>
        </w:rPr>
      </w:pPr>
      <w:r>
        <w:rPr>
          <w:rFonts w:hint="eastAsia" w:ascii="仿宋_GB2312" w:hAnsi="仿宋_GB2312" w:eastAsia="仿宋_GB2312" w:cs="仿宋_GB2312"/>
          <w:sz w:val="24"/>
        </w:rPr>
        <w:t>式中：</w:t>
      </w:r>
      <w:r>
        <w:rPr>
          <w:rFonts w:hint="eastAsia" w:ascii="仿宋_GB2312" w:hAnsi="仿宋_GB2312" w:eastAsia="仿宋_GB2312" w:cs="仿宋_GB2312"/>
          <w:position w:val="-4"/>
          <w:sz w:val="24"/>
        </w:rPr>
        <w:object>
          <v:shape id="_x0000_i1026" o:spt="75" type="#_x0000_t75" style="height:9.65pt;width:8.6pt;" o:ole="t" filled="f" o:preferrelative="t" stroked="f" coordsize="21600,21600">
            <v:path/>
            <v:fill on="f" focussize="0,0"/>
            <v:stroke on="f" joinstyle="miter"/>
            <v:imagedata r:id="rId17" o:title=""/>
            <o:lock v:ext="edit" aspectratio="t"/>
            <w10:wrap type="none"/>
            <w10:anchorlock/>
          </v:shape>
          <o:OLEObject Type="Embed" ProgID="Equation.3" ShapeID="_x0000_i1026" DrawAspect="Content" ObjectID="_1468075726" r:id="rId16">
            <o:LockedField>false</o:LockedField>
          </o:OLEObject>
        </w:object>
      </w:r>
      <w:r>
        <w:rPr>
          <w:rFonts w:hint="eastAsia" w:ascii="仿宋_GB2312" w:hAnsi="仿宋_GB2312" w:eastAsia="仿宋_GB2312" w:cs="仿宋_GB2312"/>
          <w:sz w:val="24"/>
        </w:rPr>
        <w:t>——土地还原率；</w:t>
      </w:r>
      <w:r>
        <w:rPr>
          <w:rFonts w:hint="eastAsia" w:ascii="仿宋_GB2312" w:hAnsi="仿宋_GB2312" w:eastAsia="仿宋_GB2312" w:cs="仿宋_GB2312"/>
          <w:position w:val="-6"/>
          <w:sz w:val="24"/>
        </w:rPr>
        <w:object>
          <v:shape id="_x0000_i1027" o:spt="75" type="#_x0000_t75" style="height:10.75pt;width:12.9pt;" o:ole="t" filled="f" o:preferrelative="t" stroked="f" coordsize="21600,21600">
            <v:path/>
            <v:fill on="f" focussize="0,0"/>
            <v:stroke on="f" joinstyle="miter"/>
            <v:imagedata r:id="rId19" o:title=""/>
            <o:lock v:ext="edit" aspectratio="t"/>
            <w10:wrap type="none"/>
            <w10:anchorlock/>
          </v:shape>
          <o:OLEObject Type="Embed" ProgID="Equation.3" ShapeID="_x0000_i1027" DrawAspect="Content" ObjectID="_1468075727" r:id="rId18">
            <o:LockedField>false</o:LockedField>
          </o:OLEObject>
        </w:object>
      </w:r>
      <w:r>
        <w:rPr>
          <w:rFonts w:hint="eastAsia" w:ascii="仿宋_GB2312" w:hAnsi="仿宋_GB2312" w:eastAsia="仿宋_GB2312" w:cs="仿宋_GB2312"/>
          <w:sz w:val="24"/>
        </w:rPr>
        <w:t>——土地使用权法定最高出让年限40年；</w:t>
      </w:r>
    </w:p>
    <w:p>
      <w:pPr>
        <w:ind w:firstLine="1200" w:firstLineChars="500"/>
        <w:rPr>
          <w:rFonts w:ascii="仿宋_GB2312" w:hAnsi="仿宋_GB2312" w:eastAsia="仿宋_GB2312" w:cs="仿宋_GB2312"/>
          <w:sz w:val="24"/>
        </w:rPr>
      </w:pPr>
      <w:r>
        <w:rPr>
          <w:rFonts w:hint="eastAsia" w:ascii="仿宋_GB2312" w:hAnsi="仿宋_GB2312" w:eastAsia="仿宋_GB2312" w:cs="仿宋_GB2312"/>
          <w:position w:val="-6"/>
          <w:sz w:val="24"/>
        </w:rPr>
        <w:object>
          <v:shape id="_x0000_i1028" o:spt="75" type="#_x0000_t75" style="height:10.75pt;width:9.65pt;" o:ole="t" filled="f" o:preferrelative="t" stroked="f" coordsize="21600,21600">
            <v:path/>
            <v:fill on="f" focussize="0,0"/>
            <v:stroke on="f" joinstyle="miter"/>
            <v:imagedata r:id="rId21" o:title=""/>
            <o:lock v:ext="edit" aspectratio="t"/>
            <w10:wrap type="none"/>
            <w10:anchorlock/>
          </v:shape>
          <o:OLEObject Type="Embed" ProgID="Equation.3" ShapeID="_x0000_i1028" DrawAspect="Content" ObjectID="_1468075728" r:id="rId20">
            <o:LockedField>false</o:LockedField>
          </o:OLEObject>
        </w:object>
      </w:r>
      <w:r>
        <w:rPr>
          <w:rFonts w:hint="eastAsia" w:ascii="仿宋_GB2312" w:hAnsi="仿宋_GB2312" w:eastAsia="仿宋_GB2312" w:cs="仿宋_GB2312"/>
          <w:sz w:val="24"/>
        </w:rPr>
        <w:t>——土地剩余使用年期；</w:t>
      </w:r>
      <w:r>
        <w:rPr>
          <w:rFonts w:hint="eastAsia" w:ascii="仿宋_GB2312" w:hAnsi="仿宋_GB2312" w:eastAsia="仿宋_GB2312" w:cs="仿宋_GB2312"/>
          <w:position w:val="-4"/>
          <w:sz w:val="24"/>
        </w:rPr>
        <w:object>
          <v:shape id="_x0000_i1029" o:spt="75" type="#_x0000_t75" style="height:12.9pt;width:10.75pt;" o:ole="t" filled="f" o:preferrelative="t" stroked="f" coordsize="21600,21600">
            <v:path/>
            <v:fill on="f" focussize="0,0"/>
            <v:stroke on="f" joinstyle="miter"/>
            <v:imagedata r:id="rId23" o:title=""/>
            <o:lock v:ext="edit" aspectratio="t"/>
            <w10:wrap type="none"/>
            <w10:anchorlock/>
          </v:shape>
          <o:OLEObject Type="Embed" ProgID="Equation.3" ShapeID="_x0000_i1029" DrawAspect="Content" ObjectID="_1468075729" r:id="rId22">
            <o:LockedField>false</o:LockedField>
          </o:OLEObject>
        </w:object>
      </w:r>
      <w:r>
        <w:rPr>
          <w:rFonts w:hint="eastAsia" w:ascii="仿宋_GB2312" w:hAnsi="仿宋_GB2312" w:eastAsia="仿宋_GB2312" w:cs="仿宋_GB2312"/>
          <w:sz w:val="24"/>
        </w:rPr>
        <w:t>——土地剩余使用年期修正系数</w:t>
      </w: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城区商服用地使用年期修正系数表（土地还原率为6.5%）</w:t>
      </w:r>
    </w:p>
    <w:tbl>
      <w:tblPr>
        <w:tblStyle w:val="47"/>
        <w:tblW w:w="9284" w:type="dxa"/>
        <w:jc w:val="center"/>
        <w:tblInd w:w="0" w:type="dxa"/>
        <w:tblLayout w:type="fixed"/>
        <w:tblCellMar>
          <w:top w:w="0" w:type="dxa"/>
          <w:left w:w="108" w:type="dxa"/>
          <w:bottom w:w="0" w:type="dxa"/>
          <w:right w:w="108" w:type="dxa"/>
        </w:tblCellMar>
      </w:tblPr>
      <w:tblGrid>
        <w:gridCol w:w="1202"/>
        <w:gridCol w:w="808"/>
        <w:gridCol w:w="808"/>
        <w:gridCol w:w="808"/>
        <w:gridCol w:w="808"/>
        <w:gridCol w:w="808"/>
        <w:gridCol w:w="808"/>
        <w:gridCol w:w="808"/>
        <w:gridCol w:w="808"/>
        <w:gridCol w:w="808"/>
        <w:gridCol w:w="810"/>
      </w:tblGrid>
      <w:tr>
        <w:tblPrEx>
          <w:tblLayout w:type="fixed"/>
          <w:tblCellMar>
            <w:top w:w="0" w:type="dxa"/>
            <w:left w:w="108" w:type="dxa"/>
            <w:bottom w:w="0" w:type="dxa"/>
            <w:right w:w="108" w:type="dxa"/>
          </w:tblCellMar>
        </w:tblPrEx>
        <w:trPr>
          <w:trHeight w:val="397" w:hRule="atLeast"/>
          <w:jc w:val="center"/>
        </w:trPr>
        <w:tc>
          <w:tcPr>
            <w:tcW w:w="1202"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textAlignment w:val="center"/>
              <w:rPr>
                <w:rFonts w:cs="仿宋"/>
                <w:sz w:val="24"/>
              </w:rPr>
            </w:pPr>
            <w:r>
              <w:rPr>
                <w:rFonts w:hint="eastAsia" w:cs="仿宋"/>
                <w:kern w:val="0"/>
                <w:sz w:val="24"/>
              </w:rPr>
              <w:t>剩余年期</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1</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2</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3</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4</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5</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6</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7</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8</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9</w:t>
            </w:r>
          </w:p>
        </w:tc>
        <w:tc>
          <w:tcPr>
            <w:tcW w:w="81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10</w:t>
            </w:r>
          </w:p>
        </w:tc>
      </w:tr>
      <w:tr>
        <w:tblPrEx>
          <w:tblLayout w:type="fixed"/>
          <w:tblCellMar>
            <w:top w:w="0" w:type="dxa"/>
            <w:left w:w="108" w:type="dxa"/>
            <w:bottom w:w="0" w:type="dxa"/>
            <w:right w:w="108" w:type="dxa"/>
          </w:tblCellMar>
        </w:tblPrEx>
        <w:trPr>
          <w:trHeight w:val="397" w:hRule="atLeast"/>
          <w:jc w:val="center"/>
        </w:trPr>
        <w:tc>
          <w:tcPr>
            <w:tcW w:w="1202"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textAlignment w:val="center"/>
              <w:rPr>
                <w:rFonts w:cs="仿宋"/>
                <w:kern w:val="0"/>
                <w:sz w:val="24"/>
              </w:rPr>
            </w:pPr>
            <w:r>
              <w:rPr>
                <w:rFonts w:hint="eastAsia" w:cs="仿宋"/>
                <w:kern w:val="0"/>
                <w:sz w:val="24"/>
              </w:rPr>
              <w:t>修正系数</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0.0664</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0.1287</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0.1872</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0.2422</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0.2938</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0.3422</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0.3877</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0.4304</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0.4705</w:t>
            </w:r>
          </w:p>
        </w:tc>
        <w:tc>
          <w:tcPr>
            <w:tcW w:w="81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0.5082</w:t>
            </w:r>
          </w:p>
        </w:tc>
      </w:tr>
      <w:tr>
        <w:tblPrEx>
          <w:tblLayout w:type="fixed"/>
          <w:tblCellMar>
            <w:top w:w="0" w:type="dxa"/>
            <w:left w:w="108" w:type="dxa"/>
            <w:bottom w:w="0" w:type="dxa"/>
            <w:right w:w="108" w:type="dxa"/>
          </w:tblCellMar>
        </w:tblPrEx>
        <w:trPr>
          <w:trHeight w:val="397" w:hRule="atLeast"/>
          <w:jc w:val="center"/>
        </w:trPr>
        <w:tc>
          <w:tcPr>
            <w:tcW w:w="1202"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textAlignment w:val="center"/>
              <w:rPr>
                <w:rFonts w:cs="仿宋"/>
                <w:kern w:val="0"/>
                <w:sz w:val="24"/>
              </w:rPr>
            </w:pPr>
            <w:r>
              <w:rPr>
                <w:rFonts w:hint="eastAsia" w:cs="仿宋"/>
                <w:kern w:val="0"/>
                <w:sz w:val="24"/>
              </w:rPr>
              <w:t>剩余年期</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11</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12</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13</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14</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15</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16</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17</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18</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19</w:t>
            </w:r>
          </w:p>
        </w:tc>
        <w:tc>
          <w:tcPr>
            <w:tcW w:w="81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20</w:t>
            </w:r>
          </w:p>
        </w:tc>
      </w:tr>
      <w:tr>
        <w:tblPrEx>
          <w:tblLayout w:type="fixed"/>
          <w:tblCellMar>
            <w:top w:w="0" w:type="dxa"/>
            <w:left w:w="108" w:type="dxa"/>
            <w:bottom w:w="0" w:type="dxa"/>
            <w:right w:w="108" w:type="dxa"/>
          </w:tblCellMar>
        </w:tblPrEx>
        <w:trPr>
          <w:trHeight w:val="397" w:hRule="atLeast"/>
          <w:jc w:val="center"/>
        </w:trPr>
        <w:tc>
          <w:tcPr>
            <w:tcW w:w="1202"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textAlignment w:val="center"/>
              <w:rPr>
                <w:rFonts w:cs="仿宋"/>
                <w:kern w:val="0"/>
                <w:sz w:val="24"/>
              </w:rPr>
            </w:pPr>
            <w:r>
              <w:rPr>
                <w:rFonts w:hint="eastAsia" w:cs="仿宋"/>
                <w:kern w:val="0"/>
                <w:sz w:val="24"/>
              </w:rPr>
              <w:t>修正系数</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0.5436</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0.5768</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0.6079</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0.6372</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0.6647</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0.6905</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0.7148</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0.7375</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0.7589</w:t>
            </w:r>
          </w:p>
        </w:tc>
        <w:tc>
          <w:tcPr>
            <w:tcW w:w="81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0.7789</w:t>
            </w:r>
          </w:p>
        </w:tc>
      </w:tr>
      <w:tr>
        <w:tblPrEx>
          <w:tblLayout w:type="fixed"/>
          <w:tblCellMar>
            <w:top w:w="0" w:type="dxa"/>
            <w:left w:w="108" w:type="dxa"/>
            <w:bottom w:w="0" w:type="dxa"/>
            <w:right w:w="108" w:type="dxa"/>
          </w:tblCellMar>
        </w:tblPrEx>
        <w:trPr>
          <w:trHeight w:val="397" w:hRule="atLeast"/>
          <w:jc w:val="center"/>
        </w:trPr>
        <w:tc>
          <w:tcPr>
            <w:tcW w:w="1202"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textAlignment w:val="center"/>
              <w:rPr>
                <w:rFonts w:cs="仿宋"/>
                <w:kern w:val="0"/>
                <w:sz w:val="24"/>
              </w:rPr>
            </w:pPr>
            <w:r>
              <w:rPr>
                <w:rFonts w:hint="eastAsia" w:cs="仿宋"/>
                <w:kern w:val="0"/>
                <w:sz w:val="24"/>
              </w:rPr>
              <w:t>剩余年期</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21</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22</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23</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24</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25</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26</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27</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28</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29</w:t>
            </w:r>
          </w:p>
        </w:tc>
        <w:tc>
          <w:tcPr>
            <w:tcW w:w="81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30</w:t>
            </w:r>
          </w:p>
        </w:tc>
      </w:tr>
      <w:tr>
        <w:tblPrEx>
          <w:tblLayout w:type="fixed"/>
          <w:tblCellMar>
            <w:top w:w="0" w:type="dxa"/>
            <w:left w:w="108" w:type="dxa"/>
            <w:bottom w:w="0" w:type="dxa"/>
            <w:right w:w="108" w:type="dxa"/>
          </w:tblCellMar>
        </w:tblPrEx>
        <w:trPr>
          <w:trHeight w:val="397" w:hRule="atLeast"/>
          <w:jc w:val="center"/>
        </w:trPr>
        <w:tc>
          <w:tcPr>
            <w:tcW w:w="1202"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textAlignment w:val="center"/>
              <w:rPr>
                <w:rFonts w:cs="仿宋"/>
                <w:kern w:val="0"/>
                <w:sz w:val="24"/>
              </w:rPr>
            </w:pPr>
            <w:r>
              <w:rPr>
                <w:rFonts w:hint="eastAsia" w:cs="仿宋"/>
                <w:kern w:val="0"/>
                <w:sz w:val="24"/>
              </w:rPr>
              <w:t>修正系数</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0.7978</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0.8155</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0.8321</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0.8477</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0.8623</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0.8761</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0.889</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0.9011</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0.9125</w:t>
            </w:r>
          </w:p>
        </w:tc>
        <w:tc>
          <w:tcPr>
            <w:tcW w:w="81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0.9232</w:t>
            </w:r>
          </w:p>
        </w:tc>
      </w:tr>
      <w:tr>
        <w:tblPrEx>
          <w:tblLayout w:type="fixed"/>
          <w:tblCellMar>
            <w:top w:w="0" w:type="dxa"/>
            <w:left w:w="108" w:type="dxa"/>
            <w:bottom w:w="0" w:type="dxa"/>
            <w:right w:w="108" w:type="dxa"/>
          </w:tblCellMar>
        </w:tblPrEx>
        <w:trPr>
          <w:trHeight w:val="397" w:hRule="atLeast"/>
          <w:jc w:val="center"/>
        </w:trPr>
        <w:tc>
          <w:tcPr>
            <w:tcW w:w="1202"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textAlignment w:val="center"/>
              <w:rPr>
                <w:rFonts w:cs="仿宋"/>
                <w:kern w:val="0"/>
                <w:sz w:val="24"/>
              </w:rPr>
            </w:pPr>
            <w:r>
              <w:rPr>
                <w:rFonts w:hint="eastAsia" w:cs="仿宋"/>
                <w:kern w:val="0"/>
                <w:sz w:val="24"/>
              </w:rPr>
              <w:t>剩余年期</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31</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32</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33</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34</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35</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36</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37</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38</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39</w:t>
            </w:r>
          </w:p>
        </w:tc>
        <w:tc>
          <w:tcPr>
            <w:tcW w:w="81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40</w:t>
            </w:r>
          </w:p>
        </w:tc>
      </w:tr>
      <w:tr>
        <w:tblPrEx>
          <w:tblLayout w:type="fixed"/>
          <w:tblCellMar>
            <w:top w:w="0" w:type="dxa"/>
            <w:left w:w="108" w:type="dxa"/>
            <w:bottom w:w="0" w:type="dxa"/>
            <w:right w:w="108" w:type="dxa"/>
          </w:tblCellMar>
        </w:tblPrEx>
        <w:trPr>
          <w:trHeight w:val="397" w:hRule="atLeast"/>
          <w:jc w:val="center"/>
        </w:trPr>
        <w:tc>
          <w:tcPr>
            <w:tcW w:w="1202"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textAlignment w:val="center"/>
              <w:rPr>
                <w:rFonts w:cs="仿宋"/>
                <w:kern w:val="0"/>
                <w:sz w:val="24"/>
              </w:rPr>
            </w:pPr>
            <w:r>
              <w:rPr>
                <w:rFonts w:hint="eastAsia" w:cs="仿宋"/>
                <w:kern w:val="0"/>
                <w:sz w:val="24"/>
              </w:rPr>
              <w:t>修正系数</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0.9332</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0.9426</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0.9515</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0.9598</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0.9676</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0.9749</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0.9818</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0.9882</w:t>
            </w:r>
          </w:p>
        </w:tc>
        <w:tc>
          <w:tcPr>
            <w:tcW w:w="80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0.9943</w:t>
            </w:r>
          </w:p>
        </w:tc>
        <w:tc>
          <w:tcPr>
            <w:tcW w:w="81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cs="仿宋"/>
                <w:spacing w:val="-20"/>
                <w:w w:val="90"/>
                <w:kern w:val="0"/>
                <w:sz w:val="24"/>
              </w:rPr>
            </w:pPr>
            <w:r>
              <w:rPr>
                <w:rFonts w:hint="eastAsia" w:cs="仿宋"/>
                <w:spacing w:val="-20"/>
                <w:w w:val="90"/>
                <w:kern w:val="0"/>
                <w:sz w:val="24"/>
              </w:rPr>
              <w:t>1</w:t>
            </w:r>
          </w:p>
        </w:tc>
      </w:tr>
    </w:tbl>
    <w:p>
      <w:pPr>
        <w:numPr>
          <w:ilvl w:val="0"/>
          <w:numId w:val="2"/>
        </w:numPr>
        <w:tabs>
          <w:tab w:val="left" w:pos="0"/>
        </w:tabs>
        <w:spacing w:before="72" w:after="72"/>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土地开发程度修正系数</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始兴城区商服用地基准地价为“五通一平（宗地红线外通路、通电、供水、排水、通讯，宗地红线内场地平整）”土地开发程度下的熟地价格。当运用基准地价法进行宗地评估时，若宗地未达到或超过基准地价设定开发程度时，应酌情扣除或增加相应开发费用。</w:t>
      </w: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土地开发程度修正值范围表（土地面积）</w:t>
      </w:r>
    </w:p>
    <w:tbl>
      <w:tblPr>
        <w:tblStyle w:val="47"/>
        <w:tblW w:w="9086"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504"/>
        <w:gridCol w:w="929"/>
        <w:gridCol w:w="1005"/>
        <w:gridCol w:w="941"/>
        <w:gridCol w:w="912"/>
        <w:gridCol w:w="912"/>
        <w:gridCol w:w="905"/>
        <w:gridCol w:w="929"/>
        <w:gridCol w:w="104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69" w:hRule="atLeast"/>
          <w:jc w:val="center"/>
        </w:trPr>
        <w:tc>
          <w:tcPr>
            <w:tcW w:w="1504" w:type="dxa"/>
            <w:vMerge w:val="restart"/>
            <w:tcBorders>
              <w:top w:val="single" w:color="auto" w:sz="4" w:space="0"/>
              <w:bottom w:val="single" w:color="000000" w:sz="4" w:space="0"/>
              <w:right w:val="single" w:color="000000"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土地开发程度</w:t>
            </w:r>
          </w:p>
        </w:tc>
        <w:tc>
          <w:tcPr>
            <w:tcW w:w="6533" w:type="dxa"/>
            <w:gridSpan w:val="7"/>
            <w:tcBorders>
              <w:top w:val="single" w:color="auto" w:sz="4" w:space="0"/>
              <w:left w:val="single" w:color="000000" w:sz="4" w:space="0"/>
              <w:bottom w:val="single" w:color="000000" w:sz="4" w:space="0"/>
              <w:right w:val="single" w:color="000000"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开发项目及成本（元/平方米）</w:t>
            </w:r>
          </w:p>
        </w:tc>
        <w:tc>
          <w:tcPr>
            <w:tcW w:w="1049" w:type="dxa"/>
            <w:tcBorders>
              <w:top w:val="single" w:color="auto" w:sz="4" w:space="0"/>
              <w:left w:val="single" w:color="000000" w:sz="4" w:space="0"/>
              <w:bottom w:val="single" w:color="000000"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544" w:hRule="atLeast"/>
          <w:jc w:val="center"/>
        </w:trPr>
        <w:tc>
          <w:tcPr>
            <w:tcW w:w="1504" w:type="dxa"/>
            <w:vMerge w:val="continue"/>
            <w:tcBorders>
              <w:top w:val="nil"/>
              <w:bottom w:val="single" w:color="000000" w:sz="4" w:space="0"/>
              <w:right w:val="single" w:color="000000" w:sz="4" w:space="0"/>
            </w:tcBorders>
            <w:vAlign w:val="center"/>
          </w:tcPr>
          <w:p>
            <w:pPr>
              <w:spacing w:line="240" w:lineRule="auto"/>
              <w:ind w:firstLine="0" w:firstLineChars="0"/>
              <w:jc w:val="center"/>
              <w:rPr>
                <w:rFonts w:ascii="仿宋_GB2312" w:hAnsi="仿宋_GB2312" w:eastAsia="仿宋_GB2312" w:cs="仿宋_GB2312"/>
                <w:sz w:val="24"/>
              </w:rPr>
            </w:pPr>
          </w:p>
        </w:tc>
        <w:tc>
          <w:tcPr>
            <w:tcW w:w="929" w:type="dxa"/>
            <w:tcBorders>
              <w:top w:val="single" w:color="000000" w:sz="4" w:space="0"/>
              <w:left w:val="single" w:color="000000" w:sz="4" w:space="0"/>
              <w:bottom w:val="single" w:color="000000" w:sz="4" w:space="0"/>
              <w:right w:val="single" w:color="000000"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通上水</w:t>
            </w:r>
          </w:p>
        </w:tc>
        <w:tc>
          <w:tcPr>
            <w:tcW w:w="1005" w:type="dxa"/>
            <w:tcBorders>
              <w:top w:val="single" w:color="000000" w:sz="4" w:space="0"/>
              <w:left w:val="single" w:color="000000" w:sz="4" w:space="0"/>
              <w:bottom w:val="single" w:color="000000" w:sz="4" w:space="0"/>
              <w:right w:val="single" w:color="000000"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通下水</w:t>
            </w:r>
          </w:p>
        </w:tc>
        <w:tc>
          <w:tcPr>
            <w:tcW w:w="941" w:type="dxa"/>
            <w:tcBorders>
              <w:top w:val="single" w:color="000000" w:sz="4" w:space="0"/>
              <w:left w:val="single" w:color="000000" w:sz="4" w:space="0"/>
              <w:bottom w:val="single" w:color="000000" w:sz="4" w:space="0"/>
              <w:right w:val="single" w:color="000000"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通电</w:t>
            </w:r>
          </w:p>
        </w:tc>
        <w:tc>
          <w:tcPr>
            <w:tcW w:w="912" w:type="dxa"/>
            <w:tcBorders>
              <w:top w:val="single" w:color="000000" w:sz="4" w:space="0"/>
              <w:left w:val="single" w:color="000000" w:sz="4" w:space="0"/>
              <w:bottom w:val="single" w:color="000000" w:sz="4" w:space="0"/>
              <w:right w:val="single" w:color="000000"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通讯</w:t>
            </w:r>
          </w:p>
        </w:tc>
        <w:tc>
          <w:tcPr>
            <w:tcW w:w="912" w:type="dxa"/>
            <w:tcBorders>
              <w:top w:val="single" w:color="000000" w:sz="4" w:space="0"/>
              <w:left w:val="single" w:color="000000" w:sz="4" w:space="0"/>
              <w:bottom w:val="single" w:color="000000" w:sz="4" w:space="0"/>
              <w:right w:val="single" w:color="000000"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通路</w:t>
            </w:r>
          </w:p>
        </w:tc>
        <w:tc>
          <w:tcPr>
            <w:tcW w:w="905" w:type="dxa"/>
            <w:tcBorders>
              <w:top w:val="single" w:color="000000" w:sz="4" w:space="0"/>
              <w:left w:val="single" w:color="000000" w:sz="4" w:space="0"/>
              <w:bottom w:val="single" w:color="000000" w:sz="4" w:space="0"/>
              <w:right w:val="single" w:color="000000"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通气</w:t>
            </w:r>
          </w:p>
        </w:tc>
        <w:tc>
          <w:tcPr>
            <w:tcW w:w="929" w:type="dxa"/>
            <w:tcBorders>
              <w:top w:val="single" w:color="000000" w:sz="4" w:space="0"/>
              <w:left w:val="single" w:color="000000" w:sz="4" w:space="0"/>
              <w:bottom w:val="single" w:color="000000" w:sz="4" w:space="0"/>
              <w:right w:val="single" w:color="000000"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平整</w:t>
            </w:r>
          </w:p>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土地</w:t>
            </w:r>
          </w:p>
        </w:tc>
        <w:tc>
          <w:tcPr>
            <w:tcW w:w="1049" w:type="dxa"/>
            <w:tcBorders>
              <w:top w:val="single" w:color="000000" w:sz="4" w:space="0"/>
              <w:left w:val="single" w:color="000000" w:sz="4" w:space="0"/>
              <w:bottom w:val="single" w:color="000000"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元/平方米</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544" w:hRule="atLeast"/>
          <w:jc w:val="center"/>
        </w:trPr>
        <w:tc>
          <w:tcPr>
            <w:tcW w:w="1504" w:type="dxa"/>
            <w:tcBorders>
              <w:top w:val="single" w:color="000000" w:sz="4" w:space="0"/>
              <w:bottom w:val="single" w:color="000000" w:sz="4" w:space="0"/>
              <w:right w:val="single" w:color="000000"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数据</w:t>
            </w:r>
          </w:p>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统计范围</w:t>
            </w:r>
          </w:p>
        </w:tc>
        <w:tc>
          <w:tcPr>
            <w:tcW w:w="929" w:type="dxa"/>
            <w:tcBorders>
              <w:top w:val="single" w:color="000000" w:sz="4" w:space="0"/>
              <w:left w:val="single" w:color="000000" w:sz="4" w:space="0"/>
              <w:bottom w:val="single" w:color="000000" w:sz="4" w:space="0"/>
              <w:right w:val="single" w:color="000000"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10～30</w:t>
            </w:r>
          </w:p>
        </w:tc>
        <w:tc>
          <w:tcPr>
            <w:tcW w:w="1005" w:type="dxa"/>
            <w:tcBorders>
              <w:top w:val="single" w:color="000000" w:sz="4" w:space="0"/>
              <w:left w:val="single" w:color="000000" w:sz="4" w:space="0"/>
              <w:bottom w:val="single" w:color="000000" w:sz="4" w:space="0"/>
              <w:right w:val="single" w:color="000000" w:sz="4" w:space="0"/>
            </w:tcBorders>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lang w:val="en-US"/>
              </w:rPr>
              <w:t>10</w:t>
            </w:r>
            <w:r>
              <w:rPr>
                <w:rFonts w:hint="eastAsia" w:ascii="仿宋_GB2312" w:hAnsi="仿宋_GB2312" w:eastAsia="仿宋_GB2312" w:cs="仿宋_GB2312"/>
                <w:sz w:val="24"/>
              </w:rPr>
              <w:t>～</w:t>
            </w:r>
            <w:r>
              <w:rPr>
                <w:rFonts w:hint="eastAsia" w:ascii="仿宋_GB2312" w:hAnsi="仿宋_GB2312" w:eastAsia="仿宋_GB2312" w:cs="仿宋_GB2312"/>
                <w:sz w:val="24"/>
                <w:lang w:val="en-US"/>
              </w:rPr>
              <w:t>20</w:t>
            </w:r>
          </w:p>
        </w:tc>
        <w:tc>
          <w:tcPr>
            <w:tcW w:w="941" w:type="dxa"/>
            <w:tcBorders>
              <w:top w:val="single" w:color="000000" w:sz="4" w:space="0"/>
              <w:left w:val="single" w:color="000000" w:sz="4" w:space="0"/>
              <w:bottom w:val="single" w:color="000000" w:sz="4" w:space="0"/>
              <w:right w:val="single" w:color="000000"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lang w:val="en-US"/>
              </w:rPr>
              <w:t>20</w:t>
            </w:r>
            <w:r>
              <w:rPr>
                <w:rFonts w:hint="eastAsia" w:ascii="仿宋_GB2312" w:hAnsi="仿宋_GB2312" w:eastAsia="仿宋_GB2312" w:cs="仿宋_GB2312"/>
                <w:sz w:val="24"/>
              </w:rPr>
              <w:t>～45</w:t>
            </w:r>
          </w:p>
        </w:tc>
        <w:tc>
          <w:tcPr>
            <w:tcW w:w="912" w:type="dxa"/>
            <w:tcBorders>
              <w:top w:val="single" w:color="000000" w:sz="4" w:space="0"/>
              <w:left w:val="single" w:color="000000" w:sz="4" w:space="0"/>
              <w:bottom w:val="single" w:color="000000" w:sz="4" w:space="0"/>
              <w:right w:val="single" w:color="000000"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lang w:val="en-US"/>
              </w:rPr>
              <w:t>5</w:t>
            </w:r>
            <w:r>
              <w:rPr>
                <w:rFonts w:hint="eastAsia" w:ascii="仿宋_GB2312" w:hAnsi="仿宋_GB2312" w:eastAsia="仿宋_GB2312" w:cs="仿宋_GB2312"/>
                <w:sz w:val="24"/>
              </w:rPr>
              <w:t>～15</w:t>
            </w:r>
          </w:p>
        </w:tc>
        <w:tc>
          <w:tcPr>
            <w:tcW w:w="912" w:type="dxa"/>
            <w:tcBorders>
              <w:top w:val="single" w:color="000000" w:sz="4" w:space="0"/>
              <w:left w:val="single" w:color="000000" w:sz="4" w:space="0"/>
              <w:bottom w:val="single" w:color="000000" w:sz="4" w:space="0"/>
              <w:right w:val="single" w:color="000000" w:sz="4" w:space="0"/>
            </w:tcBorders>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rPr>
              <w:t>2</w:t>
            </w:r>
            <w:r>
              <w:rPr>
                <w:rFonts w:hint="eastAsia" w:ascii="仿宋_GB2312" w:hAnsi="仿宋_GB2312" w:eastAsia="仿宋_GB2312" w:cs="仿宋_GB2312"/>
                <w:sz w:val="24"/>
                <w:lang w:val="en-US"/>
              </w:rPr>
              <w:t>0</w:t>
            </w:r>
            <w:r>
              <w:rPr>
                <w:rFonts w:hint="eastAsia" w:ascii="仿宋_GB2312" w:hAnsi="仿宋_GB2312" w:eastAsia="仿宋_GB2312" w:cs="仿宋_GB2312"/>
                <w:sz w:val="24"/>
              </w:rPr>
              <w:t>～</w:t>
            </w:r>
            <w:r>
              <w:rPr>
                <w:rFonts w:hint="eastAsia" w:ascii="仿宋_GB2312" w:hAnsi="仿宋_GB2312" w:eastAsia="仿宋_GB2312" w:cs="仿宋_GB2312"/>
                <w:sz w:val="24"/>
                <w:lang w:val="en-US"/>
              </w:rPr>
              <w:t>50</w:t>
            </w:r>
          </w:p>
        </w:tc>
        <w:tc>
          <w:tcPr>
            <w:tcW w:w="905" w:type="dxa"/>
            <w:tcBorders>
              <w:top w:val="single" w:color="000000" w:sz="4" w:space="0"/>
              <w:left w:val="single" w:color="000000" w:sz="4" w:space="0"/>
              <w:bottom w:val="single" w:color="000000" w:sz="4" w:space="0"/>
              <w:right w:val="single" w:color="000000" w:sz="4" w:space="0"/>
            </w:tcBorders>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lang w:val="en-US"/>
              </w:rPr>
              <w:t>10</w:t>
            </w:r>
            <w:r>
              <w:rPr>
                <w:rFonts w:hint="eastAsia" w:ascii="仿宋_GB2312" w:hAnsi="仿宋_GB2312" w:eastAsia="仿宋_GB2312" w:cs="仿宋_GB2312"/>
                <w:sz w:val="24"/>
              </w:rPr>
              <w:t>～</w:t>
            </w:r>
            <w:r>
              <w:rPr>
                <w:rFonts w:hint="eastAsia" w:ascii="仿宋_GB2312" w:hAnsi="仿宋_GB2312" w:eastAsia="仿宋_GB2312" w:cs="仿宋_GB2312"/>
                <w:sz w:val="24"/>
                <w:lang w:val="en-US"/>
              </w:rPr>
              <w:t>25</w:t>
            </w:r>
          </w:p>
        </w:tc>
        <w:tc>
          <w:tcPr>
            <w:tcW w:w="929" w:type="dxa"/>
            <w:tcBorders>
              <w:top w:val="single" w:color="000000" w:sz="4" w:space="0"/>
              <w:left w:val="single" w:color="000000" w:sz="4" w:space="0"/>
              <w:bottom w:val="single" w:color="000000" w:sz="4" w:space="0"/>
              <w:right w:val="single" w:color="000000"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lang w:val="en-US"/>
              </w:rPr>
              <w:t>20</w:t>
            </w:r>
            <w:r>
              <w:rPr>
                <w:rFonts w:hint="eastAsia" w:ascii="仿宋_GB2312" w:hAnsi="仿宋_GB2312" w:eastAsia="仿宋_GB2312" w:cs="仿宋_GB2312"/>
                <w:sz w:val="24"/>
              </w:rPr>
              <w:t>～45</w:t>
            </w:r>
          </w:p>
        </w:tc>
        <w:tc>
          <w:tcPr>
            <w:tcW w:w="1049" w:type="dxa"/>
            <w:tcBorders>
              <w:top w:val="single" w:color="000000" w:sz="4" w:space="0"/>
              <w:left w:val="single" w:color="000000" w:sz="4" w:space="0"/>
              <w:bottom w:val="single" w:color="000000" w:sz="4" w:space="0"/>
            </w:tcBorders>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lang w:val="en-US"/>
              </w:rPr>
              <w:t>100</w:t>
            </w:r>
            <w:r>
              <w:rPr>
                <w:rFonts w:hint="eastAsia" w:ascii="仿宋_GB2312" w:hAnsi="仿宋_GB2312" w:eastAsia="仿宋_GB2312" w:cs="仿宋_GB2312"/>
                <w:sz w:val="24"/>
              </w:rPr>
              <w:t>～2</w:t>
            </w:r>
            <w:r>
              <w:rPr>
                <w:rFonts w:hint="eastAsia" w:ascii="仿宋_GB2312" w:hAnsi="仿宋_GB2312" w:eastAsia="仿宋_GB2312" w:cs="仿宋_GB2312"/>
                <w:sz w:val="24"/>
                <w:lang w:val="en-US"/>
              </w:rPr>
              <w:t>30</w:t>
            </w:r>
          </w:p>
        </w:tc>
      </w:tr>
    </w:tbl>
    <w:p>
      <w:pPr>
        <w:adjustRightInd w:val="0"/>
        <w:snapToGrid w:val="0"/>
        <w:spacing w:before="72" w:after="72" w:line="240" w:lineRule="auto"/>
        <w:rPr>
          <w:rFonts w:ascii="仿宋_GB2312" w:hAnsi="仿宋_GB2312" w:eastAsia="仿宋_GB2312" w:cs="仿宋_GB2312"/>
          <w:sz w:val="24"/>
          <w:szCs w:val="22"/>
        </w:rPr>
      </w:pPr>
      <w:r>
        <w:rPr>
          <w:rFonts w:hint="eastAsia" w:ascii="仿宋_GB2312" w:hAnsi="仿宋_GB2312" w:eastAsia="仿宋_GB2312" w:cs="仿宋_GB2312"/>
          <w:sz w:val="24"/>
          <w:szCs w:val="22"/>
        </w:rPr>
        <w:t>注：该项修正为地面价修正系数，若对楼面价进行修正，则需先转换为楼面价修正系数，即开发程度楼面价修正系数=开发程度地面价修正系数/容积率</w:t>
      </w:r>
    </w:p>
    <w:p>
      <w:pPr>
        <w:adjustRightInd w:val="0"/>
        <w:spacing w:line="580" w:lineRule="exact"/>
        <w:ind w:firstLine="640"/>
        <w:rPr>
          <w:rFonts w:ascii="楷体_GB2312" w:hAnsi="楷体_GB2312" w:eastAsia="楷体_GB2312" w:cs="楷体_GB2312"/>
          <w:snapToGrid w:val="0"/>
          <w:color w:val="000000"/>
          <w:kern w:val="0"/>
          <w:sz w:val="32"/>
          <w:szCs w:val="32"/>
        </w:rPr>
      </w:pPr>
      <w:bookmarkStart w:id="55" w:name="_Toc594"/>
      <w:r>
        <w:rPr>
          <w:rFonts w:hint="eastAsia" w:ascii="楷体_GB2312" w:hAnsi="楷体_GB2312" w:eastAsia="楷体_GB2312" w:cs="楷体_GB2312"/>
          <w:snapToGrid w:val="0"/>
          <w:color w:val="000000"/>
          <w:kern w:val="0"/>
          <w:sz w:val="32"/>
          <w:szCs w:val="32"/>
        </w:rPr>
        <w:t>（二）城区住宅用地宗地地价修正系数</w:t>
      </w:r>
      <w:bookmarkEnd w:id="54"/>
      <w:bookmarkEnd w:id="55"/>
    </w:p>
    <w:p>
      <w:pPr>
        <w:numPr>
          <w:ilvl w:val="0"/>
          <w:numId w:val="3"/>
        </w:numPr>
        <w:tabs>
          <w:tab w:val="left" w:pos="0"/>
        </w:tabs>
        <w:spacing w:before="72" w:after="72"/>
        <w:ind w:firstLineChars="0"/>
        <w:rPr>
          <w:rFonts w:ascii="仿宋_GB2312" w:hAnsi="仿宋_GB2312" w:eastAsia="仿宋_GB2312" w:cs="仿宋_GB2312"/>
          <w:sz w:val="32"/>
          <w:szCs w:val="32"/>
        </w:rPr>
      </w:pPr>
      <w:bookmarkStart w:id="56" w:name="_Toc435438835"/>
      <w:bookmarkStart w:id="57" w:name="_Toc435108581"/>
      <w:bookmarkStart w:id="58" w:name="_Toc435109082"/>
      <w:bookmarkStart w:id="59" w:name="_Toc435179418"/>
      <w:bookmarkStart w:id="60" w:name="_Toc435192436"/>
      <w:bookmarkStart w:id="61" w:name="_Toc435109089"/>
      <w:bookmarkStart w:id="62" w:name="_Toc121903678"/>
      <w:r>
        <w:rPr>
          <w:rFonts w:hint="eastAsia" w:ascii="仿宋_GB2312" w:hAnsi="仿宋_GB2312" w:eastAsia="仿宋_GB2312" w:cs="仿宋_GB2312"/>
          <w:sz w:val="32"/>
          <w:szCs w:val="32"/>
        </w:rPr>
        <w:t>区域因素修正</w:t>
      </w:r>
      <w:bookmarkEnd w:id="56"/>
      <w:bookmarkEnd w:id="57"/>
      <w:bookmarkEnd w:id="58"/>
      <w:bookmarkEnd w:id="59"/>
      <w:bookmarkEnd w:id="60"/>
      <w:r>
        <w:rPr>
          <w:rFonts w:hint="eastAsia" w:ascii="仿宋_GB2312" w:hAnsi="仿宋_GB2312" w:eastAsia="仿宋_GB2312" w:cs="仿宋_GB2312"/>
          <w:sz w:val="32"/>
          <w:szCs w:val="32"/>
        </w:rPr>
        <w:t>系数</w:t>
      </w: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住宅用地区域因素修正系数表（一级）</w:t>
      </w:r>
    </w:p>
    <w:tbl>
      <w:tblPr>
        <w:tblStyle w:val="47"/>
        <w:tblW w:w="9279" w:type="dxa"/>
        <w:tblInd w:w="0" w:type="dxa"/>
        <w:tblLayout w:type="fixed"/>
        <w:tblCellMar>
          <w:top w:w="0" w:type="dxa"/>
          <w:left w:w="108" w:type="dxa"/>
          <w:bottom w:w="0" w:type="dxa"/>
          <w:right w:w="108" w:type="dxa"/>
        </w:tblCellMar>
      </w:tblPr>
      <w:tblGrid>
        <w:gridCol w:w="1662"/>
        <w:gridCol w:w="1536"/>
        <w:gridCol w:w="1518"/>
        <w:gridCol w:w="1518"/>
        <w:gridCol w:w="1518"/>
        <w:gridCol w:w="1527"/>
      </w:tblGrid>
      <w:tr>
        <w:tblPrEx>
          <w:tblLayout w:type="fixed"/>
          <w:tblCellMar>
            <w:top w:w="0" w:type="dxa"/>
            <w:left w:w="108" w:type="dxa"/>
            <w:bottom w:w="0" w:type="dxa"/>
            <w:right w:w="108" w:type="dxa"/>
          </w:tblCellMar>
        </w:tblPrEx>
        <w:trPr>
          <w:trHeight w:val="285" w:hRule="atLeast"/>
          <w:tblHead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因素/优劣度</w:t>
            </w:r>
          </w:p>
        </w:tc>
        <w:tc>
          <w:tcPr>
            <w:tcW w:w="153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优</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较优</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一般</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较劣</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劣</w:t>
            </w:r>
          </w:p>
        </w:tc>
      </w:tr>
      <w:tr>
        <w:tblPrEx>
          <w:tblLayout w:type="fixed"/>
          <w:tblCellMar>
            <w:top w:w="0" w:type="dxa"/>
            <w:left w:w="108" w:type="dxa"/>
            <w:bottom w:w="0" w:type="dxa"/>
            <w:right w:w="108" w:type="dxa"/>
          </w:tblCellMar>
        </w:tblPrEx>
        <w:trPr>
          <w:trHeight w:val="328"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基本设施状况</w:t>
            </w:r>
          </w:p>
        </w:tc>
        <w:tc>
          <w:tcPr>
            <w:tcW w:w="153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市政供水，供电保证率高，排水状况好，周围学校、银行、邮电局（所）、医院等生活设施配套完备</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市政供水，供电保证率较高，排水状况较好，周围学校、银行、邮电局（所）、医院等生活设施配套较完备</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市政供水，供电保证率一般，排水状况一般，周围学校、银行、邮电局（所）、医院等生活设施配套一般</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市政供水，供电保证率较低，排水状况较差，离学校、银行、邮电局（所）、医院等生活设施有一定的距离</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市政供水，供电保证率低，排水状况差，离学校、银行、邮电局（所）、医院较远，生活设施配套不完备</w:t>
            </w:r>
          </w:p>
        </w:tc>
      </w:tr>
      <w:tr>
        <w:tblPrEx>
          <w:tblLayout w:type="fixed"/>
          <w:tblCellMar>
            <w:top w:w="0" w:type="dxa"/>
            <w:left w:w="108" w:type="dxa"/>
            <w:bottom w:w="0" w:type="dxa"/>
            <w:right w:w="108" w:type="dxa"/>
          </w:tblCellMar>
        </w:tblPrEx>
        <w:trPr>
          <w:trHeight w:val="285"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3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4.7400%</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2.3700%</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-2.5675%</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-5.1350%</w:t>
            </w:r>
          </w:p>
        </w:tc>
      </w:tr>
      <w:tr>
        <w:tblPrEx>
          <w:tblLayout w:type="fixed"/>
          <w:tblCellMar>
            <w:top w:w="0" w:type="dxa"/>
            <w:left w:w="108" w:type="dxa"/>
            <w:bottom w:w="0" w:type="dxa"/>
            <w:right w:w="108" w:type="dxa"/>
          </w:tblCellMar>
        </w:tblPrEx>
        <w:trPr>
          <w:trHeight w:val="1080"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交通条件</w:t>
            </w:r>
          </w:p>
        </w:tc>
        <w:tc>
          <w:tcPr>
            <w:tcW w:w="153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道路通达度高，距汽车站、货运站、高速公路出入口近，对外交通便利</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道路通达度较高，距汽车站、货运站、高速公路出入口较近，对外交通较便利</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道路通达度一般，距汽车站、货运站、高速公路出入口一般，对外交通一般</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道路通达度较低，距汽车站、货运站、高速公路出入口较远，对外交通较差</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道路通达度低，距汽车站、货运站、高速公路出入口远，对外交通差</w:t>
            </w:r>
          </w:p>
        </w:tc>
      </w:tr>
      <w:tr>
        <w:tblPrEx>
          <w:tblLayout w:type="fixed"/>
          <w:tblCellMar>
            <w:top w:w="0" w:type="dxa"/>
            <w:left w:w="108" w:type="dxa"/>
            <w:bottom w:w="0" w:type="dxa"/>
            <w:right w:w="108" w:type="dxa"/>
          </w:tblCellMar>
        </w:tblPrEx>
        <w:trPr>
          <w:trHeight w:val="285"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3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4.0676%</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2.0338%</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-2.2033%</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-4.4066%</w:t>
            </w:r>
          </w:p>
        </w:tc>
      </w:tr>
      <w:tr>
        <w:tblPrEx>
          <w:tblLayout w:type="fixed"/>
          <w:tblCellMar>
            <w:top w:w="0" w:type="dxa"/>
            <w:left w:w="108" w:type="dxa"/>
            <w:bottom w:w="0" w:type="dxa"/>
            <w:right w:w="108" w:type="dxa"/>
          </w:tblCellMar>
        </w:tblPrEx>
        <w:trPr>
          <w:trHeight w:val="1350"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环境条件</w:t>
            </w:r>
          </w:p>
        </w:tc>
        <w:tc>
          <w:tcPr>
            <w:tcW w:w="153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周围绿化程度高、低噪音、环境优美、无水污染</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周围绿化程度较高、噪音较低、基本无水污染</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周围有一定的绿化、有轻微的噪音污染、水污染</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周围绿化程度较低、噪音污染较大，水污染较严重</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周围绿化程度低或没绿化、噪音大，水污染严重</w:t>
            </w:r>
          </w:p>
        </w:tc>
      </w:tr>
      <w:tr>
        <w:tblPrEx>
          <w:tblLayout w:type="fixed"/>
          <w:tblCellMar>
            <w:top w:w="0" w:type="dxa"/>
            <w:left w:w="108" w:type="dxa"/>
            <w:bottom w:w="0" w:type="dxa"/>
            <w:right w:w="108" w:type="dxa"/>
          </w:tblCellMar>
        </w:tblPrEx>
        <w:trPr>
          <w:trHeight w:val="285"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3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3.6882%</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1.8441%</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-1.9978%</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-3.9956%</w:t>
            </w:r>
          </w:p>
        </w:tc>
      </w:tr>
      <w:tr>
        <w:tblPrEx>
          <w:tblLayout w:type="fixed"/>
          <w:tblCellMar>
            <w:top w:w="0" w:type="dxa"/>
            <w:left w:w="108" w:type="dxa"/>
            <w:bottom w:w="0" w:type="dxa"/>
            <w:right w:w="108" w:type="dxa"/>
          </w:tblCellMar>
        </w:tblPrEx>
        <w:trPr>
          <w:trHeight w:val="90"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商服繁华程度</w:t>
            </w:r>
          </w:p>
        </w:tc>
        <w:tc>
          <w:tcPr>
            <w:tcW w:w="153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距商服中心近、在农贸市场、大型宾馆区范围内，人流畅旺</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距商服中心较近、离集贸市场、宾馆区较近，人流较畅旺</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距商服中心有一定距离，与集贸市场、宾馆距离一般、人流量一般</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距商服中心较远，所在地区商业气氛平淡，人流较少</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距商服中心远，独立、小型、零星的商业用地</w:t>
            </w:r>
          </w:p>
        </w:tc>
      </w:tr>
      <w:tr>
        <w:tblPrEx>
          <w:tblLayout w:type="fixed"/>
          <w:tblCellMar>
            <w:top w:w="0" w:type="dxa"/>
            <w:left w:w="108" w:type="dxa"/>
            <w:bottom w:w="0" w:type="dxa"/>
            <w:right w:w="108" w:type="dxa"/>
          </w:tblCellMar>
        </w:tblPrEx>
        <w:trPr>
          <w:trHeight w:val="285"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3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2.2182%</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1.1091%</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-1.2015%</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-2.4031%</w:t>
            </w:r>
          </w:p>
        </w:tc>
      </w:tr>
      <w:tr>
        <w:tblPrEx>
          <w:tblLayout w:type="fixed"/>
          <w:tblCellMar>
            <w:top w:w="0" w:type="dxa"/>
            <w:left w:w="108" w:type="dxa"/>
            <w:bottom w:w="0" w:type="dxa"/>
            <w:right w:w="108" w:type="dxa"/>
          </w:tblCellMar>
        </w:tblPrEx>
        <w:trPr>
          <w:trHeight w:val="270"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人口状况</w:t>
            </w:r>
          </w:p>
        </w:tc>
        <w:tc>
          <w:tcPr>
            <w:tcW w:w="153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人口密度高</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人口密度较高</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人口密度一般</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人口密度较低</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人口密度低</w:t>
            </w:r>
          </w:p>
        </w:tc>
      </w:tr>
      <w:tr>
        <w:tblPrEx>
          <w:tblLayout w:type="fixed"/>
          <w:tblCellMar>
            <w:top w:w="0" w:type="dxa"/>
            <w:left w:w="108" w:type="dxa"/>
            <w:bottom w:w="0" w:type="dxa"/>
            <w:right w:w="108" w:type="dxa"/>
          </w:tblCellMar>
        </w:tblPrEx>
        <w:trPr>
          <w:trHeight w:val="285"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3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1.6465%</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0.8232%</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-0.8918%</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-1.7837%</w:t>
            </w:r>
          </w:p>
        </w:tc>
      </w:tr>
      <w:tr>
        <w:tblPrEx>
          <w:tblLayout w:type="fixed"/>
          <w:tblCellMar>
            <w:top w:w="0" w:type="dxa"/>
            <w:left w:w="108" w:type="dxa"/>
            <w:bottom w:w="0" w:type="dxa"/>
            <w:right w:w="108" w:type="dxa"/>
          </w:tblCellMar>
        </w:tblPrEx>
        <w:trPr>
          <w:trHeight w:val="270"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城镇规划</w:t>
            </w:r>
          </w:p>
        </w:tc>
        <w:tc>
          <w:tcPr>
            <w:tcW w:w="153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规划前景好</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规划前景较好</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规划前景一般</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规划前景较差</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规划前景差</w:t>
            </w:r>
          </w:p>
        </w:tc>
      </w:tr>
      <w:tr>
        <w:tblPrEx>
          <w:tblLayout w:type="fixed"/>
          <w:tblCellMar>
            <w:top w:w="0" w:type="dxa"/>
            <w:left w:w="108" w:type="dxa"/>
            <w:bottom w:w="0" w:type="dxa"/>
            <w:right w:w="108" w:type="dxa"/>
          </w:tblCellMar>
        </w:tblPrEx>
        <w:trPr>
          <w:trHeight w:val="285"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3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1.2865%</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0.6432%</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-0.6968%</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-1.3937%</w:t>
            </w:r>
          </w:p>
        </w:tc>
      </w:tr>
    </w:tbl>
    <w:p>
      <w:pPr>
        <w:spacing w:line="60" w:lineRule="exact"/>
        <w:ind w:firstLine="560"/>
      </w:pP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住宅用地区域因素修正系数表（二级）</w:t>
      </w:r>
    </w:p>
    <w:tbl>
      <w:tblPr>
        <w:tblStyle w:val="47"/>
        <w:tblW w:w="9279" w:type="dxa"/>
        <w:tblInd w:w="0" w:type="dxa"/>
        <w:tblLayout w:type="fixed"/>
        <w:tblCellMar>
          <w:top w:w="0" w:type="dxa"/>
          <w:left w:w="108" w:type="dxa"/>
          <w:bottom w:w="0" w:type="dxa"/>
          <w:right w:w="108" w:type="dxa"/>
        </w:tblCellMar>
      </w:tblPr>
      <w:tblGrid>
        <w:gridCol w:w="1662"/>
        <w:gridCol w:w="1521"/>
        <w:gridCol w:w="1521"/>
        <w:gridCol w:w="1524"/>
        <w:gridCol w:w="1524"/>
        <w:gridCol w:w="1527"/>
      </w:tblGrid>
      <w:tr>
        <w:tblPrEx>
          <w:tblLayout w:type="fixed"/>
          <w:tblCellMar>
            <w:top w:w="0" w:type="dxa"/>
            <w:left w:w="108" w:type="dxa"/>
            <w:bottom w:w="0" w:type="dxa"/>
            <w:right w:w="108" w:type="dxa"/>
          </w:tblCellMar>
        </w:tblPrEx>
        <w:trPr>
          <w:trHeight w:val="285" w:hRule="atLeast"/>
          <w:tblHead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因素/优劣度</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优</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较优</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较劣</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劣</w:t>
            </w:r>
          </w:p>
        </w:tc>
      </w:tr>
      <w:tr>
        <w:tblPrEx>
          <w:tblLayout w:type="fixed"/>
          <w:tblCellMar>
            <w:top w:w="0" w:type="dxa"/>
            <w:left w:w="108" w:type="dxa"/>
            <w:bottom w:w="0" w:type="dxa"/>
            <w:right w:w="108" w:type="dxa"/>
          </w:tblCellMar>
        </w:tblPrEx>
        <w:trPr>
          <w:trHeight w:val="328"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基本设施状况</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市政供水，供电保证率高，排水状况好，周围学校、银行、邮电局（所）、医院等生活设施配套完备</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市政供水，供电保证率较高，排水状况较好，周围学校、银行、邮电局（所）、医院等生活设施配套较完备</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市政供水，供电保证率一般，排水状况一般，周围学校、银行、邮电局（所）、医院等生活设施配套一般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市政供水，供电保证率较低，排水状况较差，离学校、银行、邮电局（所）、医院等生活设施有一定的距离</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市政供水，供电保证率低，排水状况差，离学校、银行、邮电局（所）、医院较远，生活设施配套不完备</w:t>
            </w:r>
          </w:p>
        </w:tc>
      </w:tr>
      <w:tr>
        <w:tblPrEx>
          <w:tblLayout w:type="fixed"/>
          <w:tblCellMar>
            <w:top w:w="0" w:type="dxa"/>
            <w:left w:w="108" w:type="dxa"/>
            <w:bottom w:w="0" w:type="dxa"/>
            <w:right w:w="108" w:type="dxa"/>
          </w:tblCellMar>
        </w:tblPrEx>
        <w:trPr>
          <w:trHeight w:val="285"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5.2802%</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2.6401%</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-2.8237%</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-5.6475%</w:t>
            </w:r>
          </w:p>
        </w:tc>
      </w:tr>
      <w:tr>
        <w:tblPrEx>
          <w:tblLayout w:type="fixed"/>
          <w:tblCellMar>
            <w:top w:w="0" w:type="dxa"/>
            <w:left w:w="108" w:type="dxa"/>
            <w:bottom w:w="0" w:type="dxa"/>
            <w:right w:w="108" w:type="dxa"/>
          </w:tblCellMar>
        </w:tblPrEx>
        <w:trPr>
          <w:trHeight w:val="603"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交通条件</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道路通达度高，距汽车站、货运站、高速公路出入口近，对外交通便利</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道路通达度较高，距汽车站、货运站、高速公路出入口较近，对外交通较便利</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道路通达度一般，距汽车站、货运站、高速公路出入口一般，对外交通一般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道路通达度较低，距汽车站、货运站、高速公路出入口较远，对外交通较差</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道路通达度低，距汽车站、货运站、高速公路出入口远，对外交通差</w:t>
            </w:r>
          </w:p>
        </w:tc>
      </w:tr>
      <w:tr>
        <w:tblPrEx>
          <w:tblLayout w:type="fixed"/>
          <w:tblCellMar>
            <w:top w:w="0" w:type="dxa"/>
            <w:left w:w="108" w:type="dxa"/>
            <w:bottom w:w="0" w:type="dxa"/>
            <w:right w:w="108" w:type="dxa"/>
          </w:tblCellMar>
        </w:tblPrEx>
        <w:trPr>
          <w:trHeight w:val="285"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4.5312%</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2.2656%</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-2.4232%</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-4.8464%</w:t>
            </w:r>
          </w:p>
        </w:tc>
      </w:tr>
      <w:tr>
        <w:tblPrEx>
          <w:tblLayout w:type="fixed"/>
          <w:tblCellMar>
            <w:top w:w="0" w:type="dxa"/>
            <w:left w:w="108" w:type="dxa"/>
            <w:bottom w:w="0" w:type="dxa"/>
            <w:right w:w="108" w:type="dxa"/>
          </w:tblCellMar>
        </w:tblPrEx>
        <w:trPr>
          <w:trHeight w:val="1350"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环境条件</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周围绿化程度高、低噪音、环境优美、无水污染</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周围绿化程度较高、噪音较低、基本无水污染</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周围有一定的绿化、有轻微的噪音污染、水污染</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周围绿化程度较低、噪音污染较大，水污染较严重</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周围绿化程度低或没绿化、噪音大，水污染严重</w:t>
            </w:r>
          </w:p>
        </w:tc>
      </w:tr>
      <w:tr>
        <w:tblPrEx>
          <w:tblLayout w:type="fixed"/>
          <w:tblCellMar>
            <w:top w:w="0" w:type="dxa"/>
            <w:left w:w="108" w:type="dxa"/>
            <w:bottom w:w="0" w:type="dxa"/>
            <w:right w:w="108" w:type="dxa"/>
          </w:tblCellMar>
        </w:tblPrEx>
        <w:trPr>
          <w:trHeight w:val="285"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4.1085%</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2.0543%</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-2.1972%</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-4.3944%</w:t>
            </w:r>
          </w:p>
        </w:tc>
      </w:tr>
      <w:tr>
        <w:tblPrEx>
          <w:tblLayout w:type="fixed"/>
          <w:tblCellMar>
            <w:top w:w="0" w:type="dxa"/>
            <w:left w:w="108" w:type="dxa"/>
            <w:bottom w:w="0" w:type="dxa"/>
            <w:right w:w="108" w:type="dxa"/>
          </w:tblCellMar>
        </w:tblPrEx>
        <w:trPr>
          <w:trHeight w:val="372"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商服繁华程度</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距商服中心近、在农贸市场、大型宾馆区范围内，人流畅旺</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距商服中心较近、离集贸市场、宾馆区较近，人流较畅旺</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距商服中心有一定距离，与集贸市场、宾馆距离一般、人流量一般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距商服中心较远，所在地区商业气氛平淡，人流较少</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距商服中心远，独立、小型、零星的商业用地</w:t>
            </w:r>
          </w:p>
        </w:tc>
      </w:tr>
      <w:tr>
        <w:tblPrEx>
          <w:tblLayout w:type="fixed"/>
          <w:tblCellMar>
            <w:top w:w="0" w:type="dxa"/>
            <w:left w:w="108" w:type="dxa"/>
            <w:bottom w:w="0" w:type="dxa"/>
            <w:right w:w="108" w:type="dxa"/>
          </w:tblCellMar>
        </w:tblPrEx>
        <w:trPr>
          <w:trHeight w:val="285"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2.4710%</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1.2355%</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-1.3215%</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-2.6429%</w:t>
            </w:r>
          </w:p>
        </w:tc>
      </w:tr>
      <w:tr>
        <w:tblPrEx>
          <w:tblLayout w:type="fixed"/>
          <w:tblCellMar>
            <w:top w:w="0" w:type="dxa"/>
            <w:left w:w="108" w:type="dxa"/>
            <w:bottom w:w="0" w:type="dxa"/>
            <w:right w:w="108" w:type="dxa"/>
          </w:tblCellMar>
        </w:tblPrEx>
        <w:trPr>
          <w:trHeight w:val="270"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人口状况</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人口密度高</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人口密度较高</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人口密度较低</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人口密度低</w:t>
            </w:r>
          </w:p>
        </w:tc>
      </w:tr>
      <w:tr>
        <w:tblPrEx>
          <w:tblLayout w:type="fixed"/>
          <w:tblCellMar>
            <w:top w:w="0" w:type="dxa"/>
            <w:left w:w="108" w:type="dxa"/>
            <w:bottom w:w="0" w:type="dxa"/>
            <w:right w:w="108" w:type="dxa"/>
          </w:tblCellMar>
        </w:tblPrEx>
        <w:trPr>
          <w:trHeight w:val="285"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1.8341%</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0.9171%</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-0.9808%</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-1.9617%</w:t>
            </w:r>
          </w:p>
        </w:tc>
      </w:tr>
      <w:tr>
        <w:tblPrEx>
          <w:tblLayout w:type="fixed"/>
          <w:tblCellMar>
            <w:top w:w="0" w:type="dxa"/>
            <w:left w:w="108" w:type="dxa"/>
            <w:bottom w:w="0" w:type="dxa"/>
            <w:right w:w="108" w:type="dxa"/>
          </w:tblCellMar>
        </w:tblPrEx>
        <w:trPr>
          <w:trHeight w:val="270"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城镇规划</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规划前景好</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规划前景较好</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规划前景较差</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规划前景差</w:t>
            </w:r>
          </w:p>
        </w:tc>
      </w:tr>
      <w:tr>
        <w:tblPrEx>
          <w:tblLayout w:type="fixed"/>
          <w:tblCellMar>
            <w:top w:w="0" w:type="dxa"/>
            <w:left w:w="108" w:type="dxa"/>
            <w:bottom w:w="0" w:type="dxa"/>
            <w:right w:w="108" w:type="dxa"/>
          </w:tblCellMar>
        </w:tblPrEx>
        <w:trPr>
          <w:trHeight w:val="285"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1.4331%</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0.7165%</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-0.7664%</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-1.5328%</w:t>
            </w:r>
          </w:p>
        </w:tc>
      </w:tr>
    </w:tbl>
    <w:p>
      <w:pPr>
        <w:spacing w:line="60" w:lineRule="exact"/>
        <w:ind w:firstLine="560"/>
      </w:pP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住宅用地区域因素修正系数表（三级）</w:t>
      </w:r>
    </w:p>
    <w:tbl>
      <w:tblPr>
        <w:tblStyle w:val="47"/>
        <w:tblW w:w="9317" w:type="dxa"/>
        <w:tblInd w:w="0" w:type="dxa"/>
        <w:tblLayout w:type="fixed"/>
        <w:tblCellMar>
          <w:top w:w="0" w:type="dxa"/>
          <w:left w:w="108" w:type="dxa"/>
          <w:bottom w:w="0" w:type="dxa"/>
          <w:right w:w="108" w:type="dxa"/>
        </w:tblCellMar>
      </w:tblPr>
      <w:tblGrid>
        <w:gridCol w:w="1662"/>
        <w:gridCol w:w="1531"/>
        <w:gridCol w:w="1531"/>
        <w:gridCol w:w="1531"/>
        <w:gridCol w:w="1531"/>
        <w:gridCol w:w="1531"/>
      </w:tblGrid>
      <w:tr>
        <w:tblPrEx>
          <w:tblLayout w:type="fixed"/>
          <w:tblCellMar>
            <w:top w:w="0" w:type="dxa"/>
            <w:left w:w="108" w:type="dxa"/>
            <w:bottom w:w="0" w:type="dxa"/>
            <w:right w:w="108" w:type="dxa"/>
          </w:tblCellMar>
        </w:tblPrEx>
        <w:trPr>
          <w:trHeight w:val="285" w:hRule="atLeast"/>
          <w:tblHead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因素/优劣度</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优</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较优</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一般</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较劣</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劣</w:t>
            </w:r>
          </w:p>
        </w:tc>
      </w:tr>
      <w:tr>
        <w:tblPrEx>
          <w:tblLayout w:type="fixed"/>
          <w:tblCellMar>
            <w:top w:w="0" w:type="dxa"/>
            <w:left w:w="108" w:type="dxa"/>
            <w:bottom w:w="0" w:type="dxa"/>
            <w:right w:w="108" w:type="dxa"/>
          </w:tblCellMar>
        </w:tblPrEx>
        <w:trPr>
          <w:trHeight w:val="275"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基本设施状况</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市政供水，供电保证率高，排水状况好，周围学校、银行、邮电局（所）、医院等生活设施配套完备</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市政供水，供电保证率较高，排水状况较好，周围学校、银行、邮电局（所）、医院等生活设施配套较完备</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市政供水，供电保证率一般，排水状况一般，周围学校、银行、邮电局（所）、医院等生活设施配套一般</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市政供水，供电保证率较低，排水状况较差，离学校、银行、邮电局（所）、医院等生活设施有一定的距离</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市政供水，供电保证率低，排水状况差，离学校、银行、邮电局（所）、医院较远，生活设施配套不完备</w:t>
            </w:r>
          </w:p>
        </w:tc>
      </w:tr>
      <w:tr>
        <w:tblPrEx>
          <w:tblLayout w:type="fixed"/>
          <w:tblCellMar>
            <w:top w:w="0" w:type="dxa"/>
            <w:left w:w="108" w:type="dxa"/>
            <w:bottom w:w="0" w:type="dxa"/>
            <w:right w:w="108" w:type="dxa"/>
          </w:tblCellMar>
        </w:tblPrEx>
        <w:trPr>
          <w:trHeight w:val="285"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5.1162%</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2.5581%</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-2.7325%</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-5.4650%</w:t>
            </w:r>
          </w:p>
        </w:tc>
      </w:tr>
      <w:tr>
        <w:tblPrEx>
          <w:tblLayout w:type="fixed"/>
          <w:tblCellMar>
            <w:top w:w="0" w:type="dxa"/>
            <w:left w:w="108" w:type="dxa"/>
            <w:bottom w:w="0" w:type="dxa"/>
            <w:right w:w="108" w:type="dxa"/>
          </w:tblCellMar>
        </w:tblPrEx>
        <w:trPr>
          <w:trHeight w:val="353"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交通条件</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道路通达度高，距汽车站、货运站、高速公路出入口近，对外交通便利</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道路通达度较高，距汽车站、货运站、高速公路出入口较近，对外交通较便利</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道路通达度一般，距汽车站、货运站、高速公路出入口一般，对外交通一般</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道路通达度较低，距汽车站、货运站、高速公路出入口较远，对外交通较差</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道路通达度低，距汽车站、货运站、高速公路出入口远，对外交通差</w:t>
            </w:r>
          </w:p>
        </w:tc>
      </w:tr>
      <w:tr>
        <w:tblPrEx>
          <w:tblLayout w:type="fixed"/>
          <w:tblCellMar>
            <w:top w:w="0" w:type="dxa"/>
            <w:left w:w="108" w:type="dxa"/>
            <w:bottom w:w="0" w:type="dxa"/>
            <w:right w:w="108" w:type="dxa"/>
          </w:tblCellMar>
        </w:tblPrEx>
        <w:trPr>
          <w:trHeight w:val="285"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4.3905%</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2.1952%</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-2.3449%</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-4.6898%</w:t>
            </w:r>
          </w:p>
        </w:tc>
      </w:tr>
      <w:tr>
        <w:tblPrEx>
          <w:tblLayout w:type="fixed"/>
          <w:tblCellMar>
            <w:top w:w="0" w:type="dxa"/>
            <w:left w:w="108" w:type="dxa"/>
            <w:bottom w:w="0" w:type="dxa"/>
            <w:right w:w="108" w:type="dxa"/>
          </w:tblCellMar>
        </w:tblPrEx>
        <w:trPr>
          <w:trHeight w:val="278"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环境条件</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周围绿化程度高、低噪音、环境优美、无水污染</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周围绿化程度较高、噪音较低、基本无水污染</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周围有一定的绿化、有轻微的噪音污染、水污染</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周围绿化程度较低、噪音污染较大，水污染较严重</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周围绿化程度低或没绿化、噪音大，水污染严重</w:t>
            </w:r>
          </w:p>
        </w:tc>
      </w:tr>
      <w:tr>
        <w:tblPrEx>
          <w:tblLayout w:type="fixed"/>
          <w:tblCellMar>
            <w:top w:w="0" w:type="dxa"/>
            <w:left w:w="108" w:type="dxa"/>
            <w:bottom w:w="0" w:type="dxa"/>
            <w:right w:w="108" w:type="dxa"/>
          </w:tblCellMar>
        </w:tblPrEx>
        <w:trPr>
          <w:trHeight w:val="285"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3.9810%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1.9905%</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-2.1262%</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-4.2524%</w:t>
            </w:r>
          </w:p>
        </w:tc>
      </w:tr>
      <w:tr>
        <w:tblPrEx>
          <w:tblLayout w:type="fixed"/>
          <w:tblCellMar>
            <w:top w:w="0" w:type="dxa"/>
            <w:left w:w="108" w:type="dxa"/>
            <w:bottom w:w="0" w:type="dxa"/>
            <w:right w:w="108" w:type="dxa"/>
          </w:tblCellMar>
        </w:tblPrEx>
        <w:trPr>
          <w:trHeight w:val="713"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商服繁华程度</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距商服中心近、在农贸市场、大型宾馆区范围内，人流畅旺</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距商服中心较近、离集贸市场、宾馆区较近，人流较畅旺</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距商服中心有一定距离，与集贸市场、宾馆距离一般、人流量一般</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距商服中心较远，所在地区商业气氛平淡，人流较少</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距商服中心远，独立、小型、零星的商业用地</w:t>
            </w:r>
          </w:p>
        </w:tc>
      </w:tr>
      <w:tr>
        <w:tblPrEx>
          <w:tblLayout w:type="fixed"/>
          <w:tblCellMar>
            <w:top w:w="0" w:type="dxa"/>
            <w:left w:w="108" w:type="dxa"/>
            <w:bottom w:w="0" w:type="dxa"/>
            <w:right w:w="108" w:type="dxa"/>
          </w:tblCellMar>
        </w:tblPrEx>
        <w:trPr>
          <w:trHeight w:val="285"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2.3943%</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1.1971%</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-1.2788%</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-2.5575%</w:t>
            </w:r>
          </w:p>
        </w:tc>
      </w:tr>
      <w:tr>
        <w:tblPrEx>
          <w:tblLayout w:type="fixed"/>
          <w:tblCellMar>
            <w:top w:w="0" w:type="dxa"/>
            <w:left w:w="108" w:type="dxa"/>
            <w:bottom w:w="0" w:type="dxa"/>
            <w:right w:w="108" w:type="dxa"/>
          </w:tblCellMar>
        </w:tblPrEx>
        <w:trPr>
          <w:trHeight w:val="270"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人口状况</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人口密度高</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人口密度较高</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人口密度一般</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人口密度较低</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人口密度低</w:t>
            </w:r>
          </w:p>
        </w:tc>
      </w:tr>
      <w:tr>
        <w:tblPrEx>
          <w:tblLayout w:type="fixed"/>
          <w:tblCellMar>
            <w:top w:w="0" w:type="dxa"/>
            <w:left w:w="108" w:type="dxa"/>
            <w:bottom w:w="0" w:type="dxa"/>
            <w:right w:w="108" w:type="dxa"/>
          </w:tblCellMar>
        </w:tblPrEx>
        <w:trPr>
          <w:trHeight w:val="285"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1.7771%</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0.8886%</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-0.9492%</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-1.8983%</w:t>
            </w:r>
          </w:p>
        </w:tc>
      </w:tr>
      <w:tr>
        <w:tblPrEx>
          <w:tblLayout w:type="fixed"/>
          <w:tblCellMar>
            <w:top w:w="0" w:type="dxa"/>
            <w:left w:w="108" w:type="dxa"/>
            <w:bottom w:w="0" w:type="dxa"/>
            <w:right w:w="108" w:type="dxa"/>
          </w:tblCellMar>
        </w:tblPrEx>
        <w:trPr>
          <w:trHeight w:val="270"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城镇规划</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规划前景好</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规划前景较好</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规划前景一般</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规划前景较差</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规划前景差</w:t>
            </w:r>
          </w:p>
        </w:tc>
      </w:tr>
      <w:tr>
        <w:tblPrEx>
          <w:tblLayout w:type="fixed"/>
          <w:tblCellMar>
            <w:top w:w="0" w:type="dxa"/>
            <w:left w:w="108" w:type="dxa"/>
            <w:bottom w:w="0" w:type="dxa"/>
            <w:right w:w="108" w:type="dxa"/>
          </w:tblCellMar>
        </w:tblPrEx>
        <w:trPr>
          <w:trHeight w:val="285"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1.3886%</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0.6943%</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-0.7416%</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-1.4832%</w:t>
            </w:r>
          </w:p>
        </w:tc>
      </w:tr>
    </w:tbl>
    <w:p>
      <w:pPr>
        <w:spacing w:line="60" w:lineRule="exact"/>
        <w:ind w:firstLine="560"/>
      </w:pP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住宅用地区域因素修正系数表（四级）</w:t>
      </w:r>
    </w:p>
    <w:tbl>
      <w:tblPr>
        <w:tblStyle w:val="47"/>
        <w:tblW w:w="9279" w:type="dxa"/>
        <w:tblInd w:w="0" w:type="dxa"/>
        <w:tblLayout w:type="fixed"/>
        <w:tblCellMar>
          <w:top w:w="0" w:type="dxa"/>
          <w:left w:w="108" w:type="dxa"/>
          <w:bottom w:w="0" w:type="dxa"/>
          <w:right w:w="108" w:type="dxa"/>
        </w:tblCellMar>
      </w:tblPr>
      <w:tblGrid>
        <w:gridCol w:w="1662"/>
        <w:gridCol w:w="1521"/>
        <w:gridCol w:w="1521"/>
        <w:gridCol w:w="1524"/>
        <w:gridCol w:w="1524"/>
        <w:gridCol w:w="1527"/>
      </w:tblGrid>
      <w:tr>
        <w:tblPrEx>
          <w:tblLayout w:type="fixed"/>
          <w:tblCellMar>
            <w:top w:w="0" w:type="dxa"/>
            <w:left w:w="108" w:type="dxa"/>
            <w:bottom w:w="0" w:type="dxa"/>
            <w:right w:w="108" w:type="dxa"/>
          </w:tblCellMar>
        </w:tblPrEx>
        <w:trPr>
          <w:trHeight w:val="285" w:hRule="atLeast"/>
          <w:tblHead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因素/优劣度</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优</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较优</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较劣</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劣</w:t>
            </w:r>
          </w:p>
        </w:tc>
      </w:tr>
      <w:tr>
        <w:tblPrEx>
          <w:tblLayout w:type="fixed"/>
          <w:tblCellMar>
            <w:top w:w="0" w:type="dxa"/>
            <w:left w:w="108" w:type="dxa"/>
            <w:bottom w:w="0" w:type="dxa"/>
            <w:right w:w="108" w:type="dxa"/>
          </w:tblCellMar>
        </w:tblPrEx>
        <w:trPr>
          <w:trHeight w:val="2160"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基本设施状况</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市政供水，供电保证率高，排水状况好，周围学校、银行、邮电局（所）、医院等生活设施配套完备</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市政供水，供电保证率较高，排水状况较好，周围学校、银行、邮电局（所）、医院等生活设施配套较完备</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市政供水，供电保证率一般，排水状况一般，周围学校、银行、邮电局（所）、医院等生活设施配套一般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市政供水，供电保证率较低，排水状况较差，离学校、银行、邮电局（所）、医院等生活设施有一定的距离</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市政供水，供电保证率低，排水状况差，离学校、银行、邮电局（所）、医院较远，生活设施配套不完备</w:t>
            </w:r>
          </w:p>
        </w:tc>
      </w:tr>
      <w:tr>
        <w:tblPrEx>
          <w:tblLayout w:type="fixed"/>
          <w:tblCellMar>
            <w:top w:w="0" w:type="dxa"/>
            <w:left w:w="108" w:type="dxa"/>
            <w:bottom w:w="0" w:type="dxa"/>
            <w:right w:w="108" w:type="dxa"/>
          </w:tblCellMar>
        </w:tblPrEx>
        <w:trPr>
          <w:trHeight w:val="285"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5.0956%</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2.5478%</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-2.7205%</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-5.4411%</w:t>
            </w:r>
          </w:p>
        </w:tc>
      </w:tr>
      <w:tr>
        <w:tblPrEx>
          <w:tblLayout w:type="fixed"/>
          <w:tblCellMar>
            <w:top w:w="0" w:type="dxa"/>
            <w:left w:w="108" w:type="dxa"/>
            <w:bottom w:w="0" w:type="dxa"/>
            <w:right w:w="108" w:type="dxa"/>
          </w:tblCellMar>
        </w:tblPrEx>
        <w:trPr>
          <w:trHeight w:val="1080"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交通条件</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道路通达度高，距汽车站、货运站、高速公路出入口近，对外交通便利</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道路通达度较高，距汽车站、货运站、高速公路出入口较近，对外交通较便利</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道路通达度一般，距汽车站、货运站、高速公路出入口一般，对外交通一般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道路通达度较低，距汽车站、货运站、高速公路出入口较远，对外交通较差</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道路通达度低，距汽车站、货运站、高速公路出入口远，对外交通差</w:t>
            </w:r>
          </w:p>
        </w:tc>
      </w:tr>
      <w:tr>
        <w:tblPrEx>
          <w:tblLayout w:type="fixed"/>
          <w:tblCellMar>
            <w:top w:w="0" w:type="dxa"/>
            <w:left w:w="108" w:type="dxa"/>
            <w:bottom w:w="0" w:type="dxa"/>
            <w:right w:w="108" w:type="dxa"/>
          </w:tblCellMar>
        </w:tblPrEx>
        <w:trPr>
          <w:trHeight w:val="285"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4.3728%</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2.1864%</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-2.3346%</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-4.6693%</w:t>
            </w:r>
          </w:p>
        </w:tc>
      </w:tr>
      <w:tr>
        <w:tblPrEx>
          <w:tblLayout w:type="fixed"/>
          <w:tblCellMar>
            <w:top w:w="0" w:type="dxa"/>
            <w:left w:w="108" w:type="dxa"/>
            <w:bottom w:w="0" w:type="dxa"/>
            <w:right w:w="108" w:type="dxa"/>
          </w:tblCellMar>
        </w:tblPrEx>
        <w:trPr>
          <w:trHeight w:val="318"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环境条件</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周围绿化程度高、低噪音、环境优美、无水污染</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周围绿化程度较高、噪音较低、基本无水污染</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周围有一定的绿化、有轻微的噪音污染、水污染</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周围绿化程度较低、噪音污染较大，水污染较严重</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周围绿化程度低或没绿化、噪音大，水污染严重</w:t>
            </w:r>
          </w:p>
        </w:tc>
      </w:tr>
      <w:tr>
        <w:tblPrEx>
          <w:tblLayout w:type="fixed"/>
          <w:tblCellMar>
            <w:top w:w="0" w:type="dxa"/>
            <w:left w:w="108" w:type="dxa"/>
            <w:bottom w:w="0" w:type="dxa"/>
            <w:right w:w="108" w:type="dxa"/>
          </w:tblCellMar>
        </w:tblPrEx>
        <w:trPr>
          <w:trHeight w:val="285"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3.9650%</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1.9825%</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-2.1169%</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-4.2338%</w:t>
            </w:r>
          </w:p>
        </w:tc>
      </w:tr>
      <w:tr>
        <w:tblPrEx>
          <w:tblLayout w:type="fixed"/>
          <w:tblCellMar>
            <w:top w:w="0" w:type="dxa"/>
            <w:left w:w="108" w:type="dxa"/>
            <w:bottom w:w="0" w:type="dxa"/>
            <w:right w:w="108" w:type="dxa"/>
          </w:tblCellMar>
        </w:tblPrEx>
        <w:trPr>
          <w:trHeight w:val="427"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商服繁华程度</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距商服中心近、在农贸市场、大型宾馆区范围内，人流畅旺</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距商服中心较近、离集贸市场、宾馆区较近，人流较畅旺</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距商服中心有一定距离，与集贸市场、宾馆距离一般、人流量一般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距商服中心较远，所在地区商业气氛平淡，人流较少</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距商服中心远，独立、小型、零星的商业用地</w:t>
            </w:r>
          </w:p>
        </w:tc>
      </w:tr>
      <w:tr>
        <w:tblPrEx>
          <w:tblLayout w:type="fixed"/>
          <w:tblCellMar>
            <w:top w:w="0" w:type="dxa"/>
            <w:left w:w="108" w:type="dxa"/>
            <w:bottom w:w="0" w:type="dxa"/>
            <w:right w:w="108" w:type="dxa"/>
          </w:tblCellMar>
        </w:tblPrEx>
        <w:trPr>
          <w:trHeight w:val="285"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2.3847%</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1.1923%</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-1.2732%</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-2.5463%</w:t>
            </w:r>
          </w:p>
        </w:tc>
      </w:tr>
      <w:tr>
        <w:tblPrEx>
          <w:tblLayout w:type="fixed"/>
          <w:tblCellMar>
            <w:top w:w="0" w:type="dxa"/>
            <w:left w:w="108" w:type="dxa"/>
            <w:bottom w:w="0" w:type="dxa"/>
            <w:right w:w="108" w:type="dxa"/>
          </w:tblCellMar>
        </w:tblPrEx>
        <w:trPr>
          <w:trHeight w:val="270"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人口状况</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人口密度高</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人口密度较高</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人口密度较低</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人口密度低</w:t>
            </w:r>
          </w:p>
        </w:tc>
      </w:tr>
      <w:tr>
        <w:tblPrEx>
          <w:tblLayout w:type="fixed"/>
          <w:tblCellMar>
            <w:top w:w="0" w:type="dxa"/>
            <w:left w:w="108" w:type="dxa"/>
            <w:bottom w:w="0" w:type="dxa"/>
            <w:right w:w="108" w:type="dxa"/>
          </w:tblCellMar>
        </w:tblPrEx>
        <w:trPr>
          <w:trHeight w:val="285"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1.7700%</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0.8850%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-0.9450%</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-1.8900%</w:t>
            </w:r>
          </w:p>
        </w:tc>
      </w:tr>
      <w:tr>
        <w:tblPrEx>
          <w:tblLayout w:type="fixed"/>
          <w:tblCellMar>
            <w:top w:w="0" w:type="dxa"/>
            <w:left w:w="108" w:type="dxa"/>
            <w:bottom w:w="0" w:type="dxa"/>
            <w:right w:w="108" w:type="dxa"/>
          </w:tblCellMar>
        </w:tblPrEx>
        <w:trPr>
          <w:trHeight w:val="270"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城镇规划</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规划前景好</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规划前景较好</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规划前景较差</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规划前景差</w:t>
            </w:r>
          </w:p>
        </w:tc>
      </w:tr>
      <w:tr>
        <w:tblPrEx>
          <w:tblLayout w:type="fixed"/>
          <w:tblCellMar>
            <w:top w:w="0" w:type="dxa"/>
            <w:left w:w="108" w:type="dxa"/>
            <w:bottom w:w="0" w:type="dxa"/>
            <w:right w:w="108" w:type="dxa"/>
          </w:tblCellMar>
        </w:tblPrEx>
        <w:trPr>
          <w:trHeight w:val="285"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1.3830%</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0.6915%</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-0.7384%</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-1.4768%</w:t>
            </w:r>
          </w:p>
        </w:tc>
      </w:tr>
    </w:tbl>
    <w:p>
      <w:pPr>
        <w:spacing w:line="60" w:lineRule="exact"/>
        <w:ind w:firstLine="560"/>
      </w:pP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住宅用地区域因素修正系数表（五级）</w:t>
      </w:r>
    </w:p>
    <w:tbl>
      <w:tblPr>
        <w:tblStyle w:val="47"/>
        <w:tblW w:w="9317" w:type="dxa"/>
        <w:jc w:val="center"/>
        <w:tblInd w:w="0" w:type="dxa"/>
        <w:tblLayout w:type="fixed"/>
        <w:tblCellMar>
          <w:top w:w="0" w:type="dxa"/>
          <w:left w:w="108" w:type="dxa"/>
          <w:bottom w:w="0" w:type="dxa"/>
          <w:right w:w="108" w:type="dxa"/>
        </w:tblCellMar>
      </w:tblPr>
      <w:tblGrid>
        <w:gridCol w:w="1662"/>
        <w:gridCol w:w="1531"/>
        <w:gridCol w:w="1531"/>
        <w:gridCol w:w="1531"/>
        <w:gridCol w:w="1531"/>
        <w:gridCol w:w="1531"/>
      </w:tblGrid>
      <w:tr>
        <w:tblPrEx>
          <w:tblLayout w:type="fixed"/>
          <w:tblCellMar>
            <w:top w:w="0" w:type="dxa"/>
            <w:left w:w="108" w:type="dxa"/>
            <w:bottom w:w="0" w:type="dxa"/>
            <w:right w:w="108" w:type="dxa"/>
          </w:tblCellMar>
        </w:tblPrEx>
        <w:trPr>
          <w:trHeight w:val="285" w:hRule="atLeast"/>
          <w:tblHeader/>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bookmarkStart w:id="63" w:name="_Toc435192439"/>
            <w:bookmarkStart w:id="64" w:name="_Toc435179421"/>
            <w:bookmarkStart w:id="65" w:name="_Toc435109085"/>
            <w:bookmarkStart w:id="66" w:name="_Toc435438837"/>
            <w:bookmarkStart w:id="67" w:name="_Toc435108584"/>
            <w:r>
              <w:rPr>
                <w:rFonts w:hint="eastAsia" w:ascii="仿宋_GB2312" w:hAnsi="仿宋_GB2312" w:eastAsia="仿宋_GB2312" w:cs="仿宋_GB2312"/>
                <w:kern w:val="0"/>
                <w:sz w:val="24"/>
              </w:rPr>
              <w:t>因素/优劣度</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优</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较优</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一般</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较劣</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劣</w:t>
            </w:r>
          </w:p>
        </w:tc>
      </w:tr>
      <w:tr>
        <w:tblPrEx>
          <w:tblLayout w:type="fixed"/>
          <w:tblCellMar>
            <w:top w:w="0" w:type="dxa"/>
            <w:left w:w="108" w:type="dxa"/>
            <w:bottom w:w="0" w:type="dxa"/>
            <w:right w:w="108" w:type="dxa"/>
          </w:tblCellMar>
        </w:tblPrEx>
        <w:trPr>
          <w:trHeight w:val="216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基本设施状况</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市政供水，供电保证率高，排水状况好，周围学校、银行、邮电局（所）、医院等生活设施配套完备</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市政供水，供电保证率较高，排水状况较好，周围学校、银行、邮电局（所）、医院等生活设施配套较完备</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市政供水，供电保证率一般，排水状况一般，周围学校、银行、邮电局（所）、医院等生活设施配套一般</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市政供水，供电保证率较低，排水状况较差，离学校、银行、邮电局（所）、医院等生活设施有一定的距离</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市政供水，供电保证率低，排水状况差，离学校、银行、邮电局（所）、医院较远，生活设施配套不完备</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4.5489%</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2.2744%</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-2.0578%</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-4.1156%</w:t>
            </w:r>
          </w:p>
        </w:tc>
      </w:tr>
      <w:tr>
        <w:tblPrEx>
          <w:tblLayout w:type="fixed"/>
          <w:tblCellMar>
            <w:top w:w="0" w:type="dxa"/>
            <w:left w:w="108" w:type="dxa"/>
            <w:bottom w:w="0" w:type="dxa"/>
            <w:right w:w="108" w:type="dxa"/>
          </w:tblCellMar>
        </w:tblPrEx>
        <w:trPr>
          <w:trHeight w:val="108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交通条件</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道路通达度高，距汽车站、货运站、高速公路出入口近，对外交通便利</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道路通达度较高，距汽车站、货运站、高速公路出入口较近，对外交通较便利</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道路通达度一般，距汽车站、货运站、高速公路出入口一般，对外交通一般</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道路通达度较低，距汽车站、货运站、高速公路出入口较远，对外交通较差</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道路通达度低，距汽车站、货运站、高速公路出入口远，对外交通差</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3.9036%</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1.9518%</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-1.7659%</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-3.5319%</w:t>
            </w:r>
          </w:p>
        </w:tc>
      </w:tr>
      <w:tr>
        <w:tblPrEx>
          <w:tblLayout w:type="fixed"/>
          <w:tblCellMar>
            <w:top w:w="0" w:type="dxa"/>
            <w:left w:w="108" w:type="dxa"/>
            <w:bottom w:w="0" w:type="dxa"/>
            <w:right w:w="108" w:type="dxa"/>
          </w:tblCellMar>
        </w:tblPrEx>
        <w:trPr>
          <w:trHeight w:val="61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环境条件</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周围绿化程度高、低噪音、环境优美、无水污染</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周围绿化程度较高、噪音较低、基本无水污染</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周围有一定的绿化、有轻微的噪音污染、水污染</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周围绿化程度较低、噪音污染较大，水污染较严重</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周围绿化程度低或没绿化、噪音大，水污染严重</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3.5395%</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1.7698%</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-1.6012%</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-3.2024%</w:t>
            </w:r>
          </w:p>
        </w:tc>
      </w:tr>
      <w:tr>
        <w:tblPrEx>
          <w:tblLayout w:type="fixed"/>
          <w:tblCellMar>
            <w:top w:w="0" w:type="dxa"/>
            <w:left w:w="108" w:type="dxa"/>
            <w:bottom w:w="0" w:type="dxa"/>
            <w:right w:w="108" w:type="dxa"/>
          </w:tblCellMar>
        </w:tblPrEx>
        <w:trPr>
          <w:trHeight w:val="9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商服繁华程度</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距商服中心近、在农贸市场、大型宾馆区范围内，人流畅旺</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距商服中心较近、离集贸市场、宾馆区较近，人流较畅旺</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距商服中心有一定距离，与集贸市场、宾馆距离一般、人流量一般</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距商服中心较远，所在地区商业气氛平淡，人流较少</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距商服中心远，独立、小型、零星的商业用地</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2.1288%</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1.0644%</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-0.9630%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-1.9260%</w:t>
            </w:r>
          </w:p>
        </w:tc>
      </w:tr>
      <w:tr>
        <w:tblPrEx>
          <w:tblLayout w:type="fixed"/>
          <w:tblCellMar>
            <w:top w:w="0" w:type="dxa"/>
            <w:left w:w="108" w:type="dxa"/>
            <w:bottom w:w="0" w:type="dxa"/>
            <w:right w:w="108" w:type="dxa"/>
          </w:tblCellMar>
        </w:tblPrEx>
        <w:trPr>
          <w:trHeight w:val="27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人口状况</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人口密度高</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人口密度较高</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人口密度一般</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人口密度较低</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人口密度低</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1.5801%</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0.7900%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-0.7148%</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-1.4296%</w:t>
            </w:r>
          </w:p>
        </w:tc>
      </w:tr>
      <w:tr>
        <w:tblPrEx>
          <w:tblLayout w:type="fixed"/>
          <w:tblCellMar>
            <w:top w:w="0" w:type="dxa"/>
            <w:left w:w="108" w:type="dxa"/>
            <w:bottom w:w="0" w:type="dxa"/>
            <w:right w:w="108" w:type="dxa"/>
          </w:tblCellMar>
        </w:tblPrEx>
        <w:trPr>
          <w:trHeight w:val="27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城镇规划</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规划前景好</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规划前景较好</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规划前景一般</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规划前景较差</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规划前景差</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1.2346%</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0.6173%</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-0.5585%</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-1.1170%</w:t>
            </w:r>
          </w:p>
        </w:tc>
      </w:tr>
    </w:tbl>
    <w:p>
      <w:pPr>
        <w:numPr>
          <w:ilvl w:val="0"/>
          <w:numId w:val="3"/>
        </w:numPr>
        <w:tabs>
          <w:tab w:val="left" w:pos="0"/>
        </w:tabs>
        <w:spacing w:before="72" w:after="72"/>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容积率修正</w:t>
      </w:r>
      <w:bookmarkEnd w:id="63"/>
      <w:bookmarkEnd w:id="64"/>
      <w:bookmarkEnd w:id="65"/>
      <w:bookmarkEnd w:id="66"/>
      <w:bookmarkEnd w:id="67"/>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住宅用地平均楼面地价容积率修正系数表</w:t>
      </w:r>
    </w:p>
    <w:tbl>
      <w:tblPr>
        <w:tblStyle w:val="47"/>
        <w:tblW w:w="9279" w:type="dxa"/>
        <w:jc w:val="center"/>
        <w:tblInd w:w="0" w:type="dxa"/>
        <w:tblLayout w:type="fixed"/>
        <w:tblCellMar>
          <w:top w:w="0" w:type="dxa"/>
          <w:left w:w="108" w:type="dxa"/>
          <w:bottom w:w="0" w:type="dxa"/>
          <w:right w:w="108" w:type="dxa"/>
        </w:tblCellMar>
      </w:tblPr>
      <w:tblGrid>
        <w:gridCol w:w="1268"/>
        <w:gridCol w:w="1082"/>
        <w:gridCol w:w="1152"/>
        <w:gridCol w:w="1152"/>
        <w:gridCol w:w="1152"/>
        <w:gridCol w:w="1152"/>
        <w:gridCol w:w="1155"/>
        <w:gridCol w:w="1166"/>
      </w:tblGrid>
      <w:tr>
        <w:tblPrEx>
          <w:tblLayout w:type="fixed"/>
          <w:tblCellMar>
            <w:top w:w="0" w:type="dxa"/>
            <w:left w:w="108" w:type="dxa"/>
            <w:bottom w:w="0" w:type="dxa"/>
            <w:right w:w="108" w:type="dxa"/>
          </w:tblCellMar>
        </w:tblPrEx>
        <w:trPr>
          <w:trHeight w:val="258" w:hRule="atLeast"/>
          <w:jc w:val="center"/>
        </w:trPr>
        <w:tc>
          <w:tcPr>
            <w:tcW w:w="126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bookmarkStart w:id="68" w:name="_Toc435179422"/>
            <w:bookmarkStart w:id="69" w:name="_Toc435438838"/>
            <w:bookmarkStart w:id="70" w:name="_Toc435108585"/>
            <w:bookmarkStart w:id="71" w:name="_Toc435109086"/>
            <w:bookmarkStart w:id="72" w:name="_Toc435192440"/>
            <w:r>
              <w:rPr>
                <w:rFonts w:hint="eastAsia" w:ascii="仿宋_GB2312" w:hAnsi="仿宋_GB2312" w:eastAsia="仿宋_GB2312" w:cs="仿宋_GB2312"/>
                <w:kern w:val="0"/>
                <w:sz w:val="24"/>
              </w:rPr>
              <w:t>容积率</w:t>
            </w:r>
          </w:p>
        </w:tc>
        <w:tc>
          <w:tcPr>
            <w:tcW w:w="108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1.1</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1.4</w:t>
            </w:r>
          </w:p>
        </w:tc>
        <w:tc>
          <w:tcPr>
            <w:tcW w:w="115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1.5</w:t>
            </w:r>
          </w:p>
        </w:tc>
        <w:tc>
          <w:tcPr>
            <w:tcW w:w="116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1.6</w:t>
            </w:r>
          </w:p>
        </w:tc>
      </w:tr>
      <w:tr>
        <w:tblPrEx>
          <w:tblLayout w:type="fixed"/>
          <w:tblCellMar>
            <w:top w:w="0" w:type="dxa"/>
            <w:left w:w="108" w:type="dxa"/>
            <w:bottom w:w="0" w:type="dxa"/>
            <w:right w:w="108" w:type="dxa"/>
          </w:tblCellMar>
        </w:tblPrEx>
        <w:trPr>
          <w:trHeight w:val="285" w:hRule="atLeast"/>
          <w:jc w:val="center"/>
        </w:trPr>
        <w:tc>
          <w:tcPr>
            <w:tcW w:w="126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08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1.3885</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1.3401</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1.3271</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1.2733</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1.2259</w:t>
            </w:r>
          </w:p>
        </w:tc>
        <w:tc>
          <w:tcPr>
            <w:tcW w:w="115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1.1834</w:t>
            </w:r>
          </w:p>
        </w:tc>
        <w:tc>
          <w:tcPr>
            <w:tcW w:w="116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1.1453</w:t>
            </w:r>
          </w:p>
        </w:tc>
      </w:tr>
      <w:tr>
        <w:tblPrEx>
          <w:tblLayout w:type="fixed"/>
          <w:tblCellMar>
            <w:top w:w="0" w:type="dxa"/>
            <w:left w:w="108" w:type="dxa"/>
            <w:bottom w:w="0" w:type="dxa"/>
            <w:right w:w="108" w:type="dxa"/>
          </w:tblCellMar>
        </w:tblPrEx>
        <w:trPr>
          <w:trHeight w:val="285" w:hRule="atLeast"/>
          <w:jc w:val="center"/>
        </w:trPr>
        <w:tc>
          <w:tcPr>
            <w:tcW w:w="126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容积率</w:t>
            </w:r>
          </w:p>
        </w:tc>
        <w:tc>
          <w:tcPr>
            <w:tcW w:w="108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1.7</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1.9</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2.1</w:t>
            </w:r>
          </w:p>
        </w:tc>
        <w:tc>
          <w:tcPr>
            <w:tcW w:w="115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2.2</w:t>
            </w:r>
          </w:p>
        </w:tc>
        <w:tc>
          <w:tcPr>
            <w:tcW w:w="116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2.3</w:t>
            </w:r>
          </w:p>
        </w:tc>
      </w:tr>
      <w:tr>
        <w:tblPrEx>
          <w:tblLayout w:type="fixed"/>
          <w:tblCellMar>
            <w:top w:w="0" w:type="dxa"/>
            <w:left w:w="108" w:type="dxa"/>
            <w:bottom w:w="0" w:type="dxa"/>
            <w:right w:w="108" w:type="dxa"/>
          </w:tblCellMar>
        </w:tblPrEx>
        <w:trPr>
          <w:trHeight w:val="285" w:hRule="atLeast"/>
          <w:jc w:val="center"/>
        </w:trPr>
        <w:tc>
          <w:tcPr>
            <w:tcW w:w="126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08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1.0792</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1.0502</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1.0237</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0.9845</w:t>
            </w:r>
          </w:p>
        </w:tc>
        <w:tc>
          <w:tcPr>
            <w:tcW w:w="115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0.9708</w:t>
            </w:r>
          </w:p>
        </w:tc>
        <w:tc>
          <w:tcPr>
            <w:tcW w:w="116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0.9579</w:t>
            </w:r>
          </w:p>
        </w:tc>
      </w:tr>
      <w:tr>
        <w:tblPrEx>
          <w:tblLayout w:type="fixed"/>
          <w:tblCellMar>
            <w:top w:w="0" w:type="dxa"/>
            <w:left w:w="108" w:type="dxa"/>
            <w:bottom w:w="0" w:type="dxa"/>
            <w:right w:w="108" w:type="dxa"/>
          </w:tblCellMar>
        </w:tblPrEx>
        <w:trPr>
          <w:trHeight w:val="285" w:hRule="atLeast"/>
          <w:jc w:val="center"/>
        </w:trPr>
        <w:tc>
          <w:tcPr>
            <w:tcW w:w="126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容积率</w:t>
            </w:r>
          </w:p>
        </w:tc>
        <w:tc>
          <w:tcPr>
            <w:tcW w:w="108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2.4</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2.5</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2.6</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2.7</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2.8</w:t>
            </w:r>
          </w:p>
        </w:tc>
        <w:tc>
          <w:tcPr>
            <w:tcW w:w="115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2.9</w:t>
            </w:r>
          </w:p>
        </w:tc>
        <w:tc>
          <w:tcPr>
            <w:tcW w:w="116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w:t>
            </w:r>
          </w:p>
        </w:tc>
      </w:tr>
      <w:tr>
        <w:tblPrEx>
          <w:tblLayout w:type="fixed"/>
          <w:tblCellMar>
            <w:top w:w="0" w:type="dxa"/>
            <w:left w:w="108" w:type="dxa"/>
            <w:bottom w:w="0" w:type="dxa"/>
            <w:right w:w="108" w:type="dxa"/>
          </w:tblCellMar>
        </w:tblPrEx>
        <w:trPr>
          <w:trHeight w:val="285" w:hRule="atLeast"/>
          <w:jc w:val="center"/>
        </w:trPr>
        <w:tc>
          <w:tcPr>
            <w:tcW w:w="126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08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0.9459</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0.9343</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0.9234</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0.913</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0.9031</w:t>
            </w:r>
          </w:p>
        </w:tc>
        <w:tc>
          <w:tcPr>
            <w:tcW w:w="115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0.8936</w:t>
            </w:r>
          </w:p>
        </w:tc>
        <w:tc>
          <w:tcPr>
            <w:tcW w:w="116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0.8846</w:t>
            </w:r>
          </w:p>
        </w:tc>
      </w:tr>
      <w:tr>
        <w:tblPrEx>
          <w:tblLayout w:type="fixed"/>
          <w:tblCellMar>
            <w:top w:w="0" w:type="dxa"/>
            <w:left w:w="108" w:type="dxa"/>
            <w:bottom w:w="0" w:type="dxa"/>
            <w:right w:w="108" w:type="dxa"/>
          </w:tblCellMar>
        </w:tblPrEx>
        <w:trPr>
          <w:trHeight w:val="285" w:hRule="atLeast"/>
          <w:jc w:val="center"/>
        </w:trPr>
        <w:tc>
          <w:tcPr>
            <w:tcW w:w="126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容积率</w:t>
            </w:r>
          </w:p>
        </w:tc>
        <w:tc>
          <w:tcPr>
            <w:tcW w:w="108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3.1</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3.2</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3.3</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3.4</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3.5</w:t>
            </w:r>
          </w:p>
        </w:tc>
        <w:tc>
          <w:tcPr>
            <w:tcW w:w="115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3.6</w:t>
            </w:r>
          </w:p>
        </w:tc>
        <w:tc>
          <w:tcPr>
            <w:tcW w:w="116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3.7</w:t>
            </w:r>
          </w:p>
        </w:tc>
      </w:tr>
      <w:tr>
        <w:tblPrEx>
          <w:tblLayout w:type="fixed"/>
          <w:tblCellMar>
            <w:top w:w="0" w:type="dxa"/>
            <w:left w:w="108" w:type="dxa"/>
            <w:bottom w:w="0" w:type="dxa"/>
            <w:right w:w="108" w:type="dxa"/>
          </w:tblCellMar>
        </w:tblPrEx>
        <w:trPr>
          <w:trHeight w:val="285" w:hRule="atLeast"/>
          <w:jc w:val="center"/>
        </w:trPr>
        <w:tc>
          <w:tcPr>
            <w:tcW w:w="126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08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0.8759</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0.8676</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0.8596</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0.8519</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0.8447</w:t>
            </w:r>
          </w:p>
        </w:tc>
        <w:tc>
          <w:tcPr>
            <w:tcW w:w="115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0.8375</w:t>
            </w:r>
          </w:p>
        </w:tc>
        <w:tc>
          <w:tcPr>
            <w:tcW w:w="116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0.8307</w:t>
            </w:r>
          </w:p>
        </w:tc>
      </w:tr>
      <w:tr>
        <w:tblPrEx>
          <w:tblLayout w:type="fixed"/>
          <w:tblCellMar>
            <w:top w:w="0" w:type="dxa"/>
            <w:left w:w="108" w:type="dxa"/>
            <w:bottom w:w="0" w:type="dxa"/>
            <w:right w:w="108" w:type="dxa"/>
          </w:tblCellMar>
        </w:tblPrEx>
        <w:trPr>
          <w:trHeight w:val="285" w:hRule="atLeast"/>
          <w:jc w:val="center"/>
        </w:trPr>
        <w:tc>
          <w:tcPr>
            <w:tcW w:w="126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容积率</w:t>
            </w:r>
          </w:p>
        </w:tc>
        <w:tc>
          <w:tcPr>
            <w:tcW w:w="108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3.8</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3.9</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4.1</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4.2</w:t>
            </w:r>
          </w:p>
        </w:tc>
        <w:tc>
          <w:tcPr>
            <w:tcW w:w="115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4.3</w:t>
            </w:r>
          </w:p>
        </w:tc>
        <w:tc>
          <w:tcPr>
            <w:tcW w:w="116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4.4</w:t>
            </w:r>
          </w:p>
        </w:tc>
      </w:tr>
      <w:tr>
        <w:tblPrEx>
          <w:tblLayout w:type="fixed"/>
          <w:tblCellMar>
            <w:top w:w="0" w:type="dxa"/>
            <w:left w:w="108" w:type="dxa"/>
            <w:bottom w:w="0" w:type="dxa"/>
            <w:right w:w="108" w:type="dxa"/>
          </w:tblCellMar>
        </w:tblPrEx>
        <w:trPr>
          <w:trHeight w:val="285" w:hRule="atLeast"/>
          <w:jc w:val="center"/>
        </w:trPr>
        <w:tc>
          <w:tcPr>
            <w:tcW w:w="126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08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0.824</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0.8176</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0.8115</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0.8055</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0.7997</w:t>
            </w:r>
          </w:p>
        </w:tc>
        <w:tc>
          <w:tcPr>
            <w:tcW w:w="115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0.794</w:t>
            </w:r>
          </w:p>
        </w:tc>
        <w:tc>
          <w:tcPr>
            <w:tcW w:w="116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0.7886</w:t>
            </w:r>
          </w:p>
        </w:tc>
      </w:tr>
      <w:tr>
        <w:tblPrEx>
          <w:tblLayout w:type="fixed"/>
          <w:tblCellMar>
            <w:top w:w="0" w:type="dxa"/>
            <w:left w:w="108" w:type="dxa"/>
            <w:bottom w:w="0" w:type="dxa"/>
            <w:right w:w="108" w:type="dxa"/>
          </w:tblCellMar>
        </w:tblPrEx>
        <w:trPr>
          <w:trHeight w:val="285" w:hRule="atLeast"/>
          <w:jc w:val="center"/>
        </w:trPr>
        <w:tc>
          <w:tcPr>
            <w:tcW w:w="126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容积率</w:t>
            </w:r>
          </w:p>
        </w:tc>
        <w:tc>
          <w:tcPr>
            <w:tcW w:w="108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4.5</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4.6</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4.7</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4.8</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4.9</w:t>
            </w:r>
          </w:p>
        </w:tc>
        <w:tc>
          <w:tcPr>
            <w:tcW w:w="115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w:t>
            </w:r>
          </w:p>
        </w:tc>
        <w:tc>
          <w:tcPr>
            <w:tcW w:w="116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5.1</w:t>
            </w:r>
          </w:p>
        </w:tc>
      </w:tr>
      <w:tr>
        <w:tblPrEx>
          <w:tblLayout w:type="fixed"/>
          <w:tblCellMar>
            <w:top w:w="0" w:type="dxa"/>
            <w:left w:w="108" w:type="dxa"/>
            <w:bottom w:w="0" w:type="dxa"/>
            <w:right w:w="108" w:type="dxa"/>
          </w:tblCellMar>
        </w:tblPrEx>
        <w:trPr>
          <w:trHeight w:val="285" w:hRule="atLeast"/>
          <w:jc w:val="center"/>
        </w:trPr>
        <w:tc>
          <w:tcPr>
            <w:tcW w:w="126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08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0.7833</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0.7781</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0.7731</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0.7682</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0.7635</w:t>
            </w:r>
          </w:p>
        </w:tc>
        <w:tc>
          <w:tcPr>
            <w:tcW w:w="115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0.7589</w:t>
            </w:r>
          </w:p>
        </w:tc>
        <w:tc>
          <w:tcPr>
            <w:tcW w:w="116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0.7544</w:t>
            </w:r>
          </w:p>
        </w:tc>
      </w:tr>
      <w:tr>
        <w:tblPrEx>
          <w:tblLayout w:type="fixed"/>
          <w:tblCellMar>
            <w:top w:w="0" w:type="dxa"/>
            <w:left w:w="108" w:type="dxa"/>
            <w:bottom w:w="0" w:type="dxa"/>
            <w:right w:w="108" w:type="dxa"/>
          </w:tblCellMar>
        </w:tblPrEx>
        <w:trPr>
          <w:trHeight w:val="285" w:hRule="atLeast"/>
          <w:jc w:val="center"/>
        </w:trPr>
        <w:tc>
          <w:tcPr>
            <w:tcW w:w="126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容积率</w:t>
            </w:r>
          </w:p>
        </w:tc>
        <w:tc>
          <w:tcPr>
            <w:tcW w:w="108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5.2</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5.3</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5.4</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5.5</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5.6</w:t>
            </w:r>
          </w:p>
        </w:tc>
        <w:tc>
          <w:tcPr>
            <w:tcW w:w="115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5.7</w:t>
            </w:r>
          </w:p>
        </w:tc>
        <w:tc>
          <w:tcPr>
            <w:tcW w:w="116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5.8</w:t>
            </w:r>
          </w:p>
        </w:tc>
      </w:tr>
      <w:tr>
        <w:tblPrEx>
          <w:tblLayout w:type="fixed"/>
          <w:tblCellMar>
            <w:top w:w="0" w:type="dxa"/>
            <w:left w:w="108" w:type="dxa"/>
            <w:bottom w:w="0" w:type="dxa"/>
            <w:right w:w="108" w:type="dxa"/>
          </w:tblCellMar>
        </w:tblPrEx>
        <w:trPr>
          <w:trHeight w:val="285" w:hRule="atLeast"/>
          <w:jc w:val="center"/>
        </w:trPr>
        <w:tc>
          <w:tcPr>
            <w:tcW w:w="126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08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r>
              <w:rPr>
                <w:rFonts w:hint="eastAsia" w:ascii="仿宋_GB2312" w:hAnsi="仿宋_GB2312" w:eastAsia="仿宋_GB2312" w:cs="仿宋_GB2312"/>
                <w:kern w:val="0"/>
                <w:sz w:val="24"/>
              </w:rPr>
              <w:t>0.75</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0.7458</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0.7416</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0.7375</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0.7336</w:t>
            </w:r>
          </w:p>
        </w:tc>
        <w:tc>
          <w:tcPr>
            <w:tcW w:w="115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0.7297</w:t>
            </w:r>
          </w:p>
        </w:tc>
        <w:tc>
          <w:tcPr>
            <w:tcW w:w="116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0.7259</w:t>
            </w:r>
          </w:p>
        </w:tc>
      </w:tr>
      <w:tr>
        <w:tblPrEx>
          <w:tblLayout w:type="fixed"/>
          <w:tblCellMar>
            <w:top w:w="0" w:type="dxa"/>
            <w:left w:w="108" w:type="dxa"/>
            <w:bottom w:w="0" w:type="dxa"/>
            <w:right w:w="108" w:type="dxa"/>
          </w:tblCellMar>
        </w:tblPrEx>
        <w:trPr>
          <w:trHeight w:val="285" w:hRule="atLeast"/>
          <w:jc w:val="center"/>
        </w:trPr>
        <w:tc>
          <w:tcPr>
            <w:tcW w:w="126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容积率</w:t>
            </w:r>
          </w:p>
        </w:tc>
        <w:tc>
          <w:tcPr>
            <w:tcW w:w="108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5.9</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≥6</w:t>
            </w:r>
          </w:p>
        </w:tc>
        <w:tc>
          <w:tcPr>
            <w:tcW w:w="5777" w:type="dxa"/>
            <w:gridSpan w:val="5"/>
            <w:vMerge w:val="restart"/>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z w:val="24"/>
              </w:rPr>
              <w:t>——————</w:t>
            </w:r>
          </w:p>
        </w:tc>
      </w:tr>
      <w:tr>
        <w:tblPrEx>
          <w:tblLayout w:type="fixed"/>
          <w:tblCellMar>
            <w:top w:w="0" w:type="dxa"/>
            <w:left w:w="108" w:type="dxa"/>
            <w:bottom w:w="0" w:type="dxa"/>
            <w:right w:w="108" w:type="dxa"/>
          </w:tblCellMar>
        </w:tblPrEx>
        <w:trPr>
          <w:trHeight w:val="300" w:hRule="atLeast"/>
          <w:jc w:val="center"/>
        </w:trPr>
        <w:tc>
          <w:tcPr>
            <w:tcW w:w="126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08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0.7222</w:t>
            </w:r>
          </w:p>
        </w:tc>
        <w:tc>
          <w:tcPr>
            <w:tcW w:w="115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0.7193</w:t>
            </w:r>
          </w:p>
        </w:tc>
        <w:tc>
          <w:tcPr>
            <w:tcW w:w="5777" w:type="dxa"/>
            <w:gridSpan w:val="5"/>
            <w:vMerge w:val="continue"/>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p>
        </w:tc>
      </w:tr>
    </w:tbl>
    <w:p>
      <w:pPr>
        <w:adjustRightInd w:val="0"/>
        <w:snapToGrid w:val="0"/>
        <w:spacing w:before="72" w:after="72" w:line="240" w:lineRule="auto"/>
        <w:rPr>
          <w:rFonts w:ascii="仿宋_GB2312" w:hAnsi="仿宋_GB2312" w:eastAsia="仿宋_GB2312" w:cs="仿宋_GB2312"/>
          <w:sz w:val="24"/>
          <w:szCs w:val="22"/>
        </w:rPr>
      </w:pPr>
      <w:r>
        <w:rPr>
          <w:rFonts w:hint="eastAsia" w:ascii="仿宋_GB2312" w:hAnsi="仿宋_GB2312" w:eastAsia="仿宋_GB2312" w:cs="仿宋_GB2312"/>
          <w:sz w:val="24"/>
          <w:szCs w:val="22"/>
        </w:rPr>
        <w:t>注：</w:t>
      </w:r>
      <w:r>
        <w:rPr>
          <w:rFonts w:hint="eastAsia" w:ascii="仿宋_GB2312" w:hAnsi="仿宋_GB2312" w:eastAsia="仿宋_GB2312" w:cs="仿宋_GB2312"/>
          <w:spacing w:val="-4"/>
          <w:sz w:val="24"/>
          <w:szCs w:val="22"/>
        </w:rPr>
        <w:t>①本表适用于采用平均楼面地价测算宗地价格；②当宗地容积率在上述容积率之间时，容积率修正系数需根据上表有关数据线性内插计算得到。线性内插公式：当</w:t>
      </w:r>
      <w:r>
        <w:rPr>
          <w:rFonts w:hint="eastAsia" w:ascii="仿宋_GB2312" w:hAnsi="仿宋_GB2312" w:eastAsia="仿宋_GB2312" w:cs="仿宋_GB2312"/>
          <w:i/>
          <w:spacing w:val="-4"/>
          <w:sz w:val="24"/>
          <w:szCs w:val="22"/>
        </w:rPr>
        <w:t>r</w:t>
      </w:r>
      <w:r>
        <w:rPr>
          <w:rFonts w:hint="eastAsia" w:ascii="仿宋_GB2312" w:hAnsi="仿宋_GB2312" w:eastAsia="仿宋_GB2312" w:cs="仿宋_GB2312"/>
          <w:i/>
          <w:spacing w:val="-4"/>
          <w:sz w:val="24"/>
          <w:szCs w:val="22"/>
          <w:vertAlign w:val="subscript"/>
        </w:rPr>
        <w:t>1</w:t>
      </w:r>
      <w:r>
        <w:rPr>
          <w:rFonts w:hint="eastAsia" w:ascii="仿宋_GB2312" w:hAnsi="仿宋_GB2312" w:eastAsia="仿宋_GB2312" w:cs="仿宋_GB2312"/>
          <w:i/>
          <w:spacing w:val="-4"/>
          <w:sz w:val="24"/>
          <w:szCs w:val="22"/>
        </w:rPr>
        <w:t>＜r＜r</w:t>
      </w:r>
      <w:r>
        <w:rPr>
          <w:rFonts w:hint="eastAsia" w:ascii="仿宋_GB2312" w:hAnsi="仿宋_GB2312" w:eastAsia="仿宋_GB2312" w:cs="仿宋_GB2312"/>
          <w:i/>
          <w:spacing w:val="-4"/>
          <w:sz w:val="24"/>
          <w:szCs w:val="22"/>
          <w:vertAlign w:val="subscript"/>
        </w:rPr>
        <w:t>2</w:t>
      </w:r>
      <w:r>
        <w:rPr>
          <w:rFonts w:hint="eastAsia" w:ascii="仿宋_GB2312" w:hAnsi="仿宋_GB2312" w:eastAsia="仿宋_GB2312" w:cs="仿宋_GB2312"/>
          <w:spacing w:val="-4"/>
          <w:sz w:val="24"/>
          <w:szCs w:val="22"/>
        </w:rPr>
        <w:t>（即</w:t>
      </w:r>
      <w:r>
        <w:rPr>
          <w:rFonts w:hint="eastAsia" w:ascii="仿宋_GB2312" w:hAnsi="仿宋_GB2312" w:eastAsia="仿宋_GB2312" w:cs="仿宋_GB2312"/>
          <w:i/>
          <w:spacing w:val="-4"/>
          <w:sz w:val="24"/>
          <w:szCs w:val="22"/>
        </w:rPr>
        <w:t>r</w:t>
      </w:r>
      <w:r>
        <w:rPr>
          <w:rFonts w:hint="eastAsia" w:ascii="仿宋_GB2312" w:hAnsi="仿宋_GB2312" w:eastAsia="仿宋_GB2312" w:cs="仿宋_GB2312"/>
          <w:i/>
          <w:spacing w:val="-4"/>
          <w:sz w:val="24"/>
          <w:szCs w:val="22"/>
          <w:vertAlign w:val="subscript"/>
        </w:rPr>
        <w:t>1</w:t>
      </w:r>
      <w:r>
        <w:rPr>
          <w:rFonts w:hint="eastAsia" w:ascii="仿宋_GB2312" w:hAnsi="仿宋_GB2312" w:eastAsia="仿宋_GB2312" w:cs="仿宋_GB2312"/>
          <w:i/>
          <w:spacing w:val="-4"/>
          <w:sz w:val="24"/>
          <w:szCs w:val="22"/>
        </w:rPr>
        <w:t>、r</w:t>
      </w:r>
      <w:r>
        <w:rPr>
          <w:rFonts w:hint="eastAsia" w:ascii="仿宋_GB2312" w:hAnsi="仿宋_GB2312" w:eastAsia="仿宋_GB2312" w:cs="仿宋_GB2312"/>
          <w:i/>
          <w:spacing w:val="-4"/>
          <w:sz w:val="24"/>
          <w:szCs w:val="22"/>
          <w:vertAlign w:val="subscript"/>
        </w:rPr>
        <w:t>2</w:t>
      </w:r>
      <w:r>
        <w:rPr>
          <w:rFonts w:hint="eastAsia" w:ascii="仿宋_GB2312" w:hAnsi="仿宋_GB2312" w:eastAsia="仿宋_GB2312" w:cs="仿宋_GB2312"/>
          <w:spacing w:val="-4"/>
          <w:sz w:val="24"/>
          <w:szCs w:val="22"/>
        </w:rPr>
        <w:t>为修正系数表中</w:t>
      </w:r>
      <w:r>
        <w:rPr>
          <w:rFonts w:hint="eastAsia" w:ascii="仿宋_GB2312" w:hAnsi="仿宋_GB2312" w:eastAsia="仿宋_GB2312" w:cs="仿宋_GB2312"/>
          <w:i/>
          <w:spacing w:val="-4"/>
          <w:sz w:val="24"/>
          <w:szCs w:val="22"/>
        </w:rPr>
        <w:t>r</w:t>
      </w:r>
      <w:r>
        <w:rPr>
          <w:rFonts w:hint="eastAsia" w:ascii="仿宋_GB2312" w:hAnsi="仿宋_GB2312" w:eastAsia="仿宋_GB2312" w:cs="仿宋_GB2312"/>
          <w:spacing w:val="-4"/>
          <w:sz w:val="24"/>
          <w:szCs w:val="22"/>
        </w:rPr>
        <w:t>的相邻容积率）时，</w:t>
      </w:r>
      <w:r>
        <w:rPr>
          <w:rFonts w:hint="eastAsia" w:ascii="仿宋_GB2312" w:hAnsi="仿宋_GB2312" w:eastAsia="仿宋_GB2312" w:cs="仿宋_GB2312"/>
          <w:i/>
          <w:spacing w:val="-4"/>
          <w:sz w:val="24"/>
          <w:szCs w:val="22"/>
        </w:rPr>
        <w:t>x</w:t>
      </w:r>
      <w:r>
        <w:rPr>
          <w:rFonts w:hint="eastAsia" w:ascii="仿宋_GB2312" w:hAnsi="仿宋_GB2312" w:eastAsia="仿宋_GB2312" w:cs="仿宋_GB2312"/>
          <w:i/>
          <w:spacing w:val="-4"/>
          <w:sz w:val="24"/>
          <w:szCs w:val="22"/>
          <w:vertAlign w:val="subscript"/>
        </w:rPr>
        <w:t>1</w:t>
      </w:r>
      <w:r>
        <w:rPr>
          <w:rFonts w:hint="eastAsia" w:ascii="仿宋_GB2312" w:hAnsi="仿宋_GB2312" w:eastAsia="仿宋_GB2312" w:cs="仿宋_GB2312"/>
          <w:spacing w:val="-4"/>
          <w:sz w:val="24"/>
          <w:szCs w:val="22"/>
        </w:rPr>
        <w:t>、</w:t>
      </w:r>
      <w:r>
        <w:rPr>
          <w:rFonts w:hint="eastAsia" w:ascii="仿宋_GB2312" w:hAnsi="仿宋_GB2312" w:eastAsia="仿宋_GB2312" w:cs="仿宋_GB2312"/>
          <w:i/>
          <w:spacing w:val="-4"/>
          <w:sz w:val="24"/>
          <w:szCs w:val="22"/>
        </w:rPr>
        <w:t>x</w:t>
      </w:r>
      <w:r>
        <w:rPr>
          <w:rFonts w:hint="eastAsia" w:ascii="仿宋_GB2312" w:hAnsi="仿宋_GB2312" w:eastAsia="仿宋_GB2312" w:cs="仿宋_GB2312"/>
          <w:i/>
          <w:spacing w:val="-4"/>
          <w:sz w:val="24"/>
          <w:szCs w:val="22"/>
          <w:vertAlign w:val="subscript"/>
        </w:rPr>
        <w:t>2</w:t>
      </w:r>
      <w:r>
        <w:rPr>
          <w:rFonts w:hint="eastAsia" w:ascii="仿宋_GB2312" w:hAnsi="仿宋_GB2312" w:eastAsia="仿宋_GB2312" w:cs="仿宋_GB2312"/>
          <w:spacing w:val="-4"/>
          <w:sz w:val="24"/>
          <w:szCs w:val="22"/>
        </w:rPr>
        <w:t>为</w:t>
      </w:r>
      <w:r>
        <w:rPr>
          <w:rFonts w:hint="eastAsia" w:ascii="仿宋_GB2312" w:hAnsi="仿宋_GB2312" w:eastAsia="仿宋_GB2312" w:cs="仿宋_GB2312"/>
          <w:i/>
          <w:spacing w:val="-4"/>
          <w:sz w:val="24"/>
          <w:szCs w:val="22"/>
        </w:rPr>
        <w:t>r</w:t>
      </w:r>
      <w:r>
        <w:rPr>
          <w:rFonts w:hint="eastAsia" w:ascii="仿宋_GB2312" w:hAnsi="仿宋_GB2312" w:eastAsia="仿宋_GB2312" w:cs="仿宋_GB2312"/>
          <w:i/>
          <w:spacing w:val="-4"/>
          <w:sz w:val="24"/>
          <w:szCs w:val="22"/>
          <w:vertAlign w:val="subscript"/>
        </w:rPr>
        <w:t>1</w:t>
      </w:r>
      <w:r>
        <w:rPr>
          <w:rFonts w:hint="eastAsia" w:ascii="仿宋_GB2312" w:hAnsi="仿宋_GB2312" w:eastAsia="仿宋_GB2312" w:cs="仿宋_GB2312"/>
          <w:i/>
          <w:spacing w:val="-4"/>
          <w:sz w:val="24"/>
          <w:szCs w:val="22"/>
        </w:rPr>
        <w:t>、r</w:t>
      </w:r>
      <w:r>
        <w:rPr>
          <w:rFonts w:hint="eastAsia" w:ascii="仿宋_GB2312" w:hAnsi="仿宋_GB2312" w:eastAsia="仿宋_GB2312" w:cs="仿宋_GB2312"/>
          <w:i/>
          <w:spacing w:val="-4"/>
          <w:sz w:val="24"/>
          <w:szCs w:val="22"/>
          <w:vertAlign w:val="subscript"/>
        </w:rPr>
        <w:t>2</w:t>
      </w:r>
      <w:r>
        <w:rPr>
          <w:rFonts w:hint="eastAsia" w:ascii="仿宋_GB2312" w:hAnsi="仿宋_GB2312" w:eastAsia="仿宋_GB2312" w:cs="仿宋_GB2312"/>
          <w:spacing w:val="-4"/>
          <w:sz w:val="24"/>
          <w:szCs w:val="22"/>
        </w:rPr>
        <w:t>对应的容积率修正系数，容积率的修正系数：</w:t>
      </w:r>
      <w:r>
        <w:rPr>
          <w:rFonts w:hint="eastAsia" w:ascii="仿宋_GB2312" w:hAnsi="仿宋_GB2312" w:eastAsia="仿宋_GB2312" w:cs="仿宋_GB2312"/>
          <w:i/>
          <w:spacing w:val="-4"/>
          <w:sz w:val="24"/>
          <w:szCs w:val="22"/>
        </w:rPr>
        <w:t>x=x</w:t>
      </w:r>
      <w:r>
        <w:rPr>
          <w:rFonts w:hint="eastAsia" w:ascii="仿宋_GB2312" w:hAnsi="仿宋_GB2312" w:eastAsia="仿宋_GB2312" w:cs="仿宋_GB2312"/>
          <w:i/>
          <w:spacing w:val="-4"/>
          <w:sz w:val="24"/>
          <w:szCs w:val="22"/>
          <w:vertAlign w:val="subscript"/>
        </w:rPr>
        <w:t>1</w:t>
      </w:r>
      <w:r>
        <w:rPr>
          <w:rFonts w:hint="eastAsia" w:ascii="仿宋_GB2312" w:hAnsi="仿宋_GB2312" w:eastAsia="仿宋_GB2312" w:cs="仿宋_GB2312"/>
          <w:i/>
          <w:spacing w:val="-4"/>
          <w:sz w:val="24"/>
          <w:szCs w:val="22"/>
        </w:rPr>
        <w:t>+（x</w:t>
      </w:r>
      <w:r>
        <w:rPr>
          <w:rFonts w:hint="eastAsia" w:ascii="仿宋_GB2312" w:hAnsi="仿宋_GB2312" w:eastAsia="仿宋_GB2312" w:cs="仿宋_GB2312"/>
          <w:i/>
          <w:spacing w:val="-4"/>
          <w:sz w:val="24"/>
          <w:szCs w:val="22"/>
          <w:vertAlign w:val="subscript"/>
        </w:rPr>
        <w:t>2</w:t>
      </w:r>
      <w:r>
        <w:rPr>
          <w:rFonts w:hint="eastAsia" w:ascii="仿宋_GB2312" w:hAnsi="仿宋_GB2312" w:eastAsia="仿宋_GB2312" w:cs="仿宋_GB2312"/>
          <w:i/>
          <w:spacing w:val="-4"/>
          <w:sz w:val="24"/>
          <w:szCs w:val="22"/>
        </w:rPr>
        <w:t>-x</w:t>
      </w:r>
      <w:r>
        <w:rPr>
          <w:rFonts w:hint="eastAsia" w:ascii="仿宋_GB2312" w:hAnsi="仿宋_GB2312" w:eastAsia="仿宋_GB2312" w:cs="仿宋_GB2312"/>
          <w:i/>
          <w:spacing w:val="-4"/>
          <w:sz w:val="24"/>
          <w:szCs w:val="22"/>
          <w:vertAlign w:val="subscript"/>
        </w:rPr>
        <w:t>1</w:t>
      </w:r>
      <w:r>
        <w:rPr>
          <w:rFonts w:hint="eastAsia" w:ascii="仿宋_GB2312" w:hAnsi="仿宋_GB2312" w:eastAsia="仿宋_GB2312" w:cs="仿宋_GB2312"/>
          <w:i/>
          <w:spacing w:val="-4"/>
          <w:sz w:val="24"/>
          <w:szCs w:val="22"/>
        </w:rPr>
        <w:t>）×（r-r</w:t>
      </w:r>
      <w:r>
        <w:rPr>
          <w:rFonts w:hint="eastAsia" w:ascii="仿宋_GB2312" w:hAnsi="仿宋_GB2312" w:eastAsia="仿宋_GB2312" w:cs="仿宋_GB2312"/>
          <w:i/>
          <w:spacing w:val="-4"/>
          <w:sz w:val="24"/>
          <w:szCs w:val="22"/>
          <w:vertAlign w:val="subscript"/>
        </w:rPr>
        <w:t>1</w:t>
      </w:r>
      <w:r>
        <w:rPr>
          <w:rFonts w:hint="eastAsia" w:ascii="仿宋_GB2312" w:hAnsi="仿宋_GB2312" w:eastAsia="仿宋_GB2312" w:cs="仿宋_GB2312"/>
          <w:i/>
          <w:spacing w:val="-4"/>
          <w:sz w:val="24"/>
          <w:szCs w:val="22"/>
        </w:rPr>
        <w:t>）/（r</w:t>
      </w:r>
      <w:r>
        <w:rPr>
          <w:rFonts w:hint="eastAsia" w:ascii="仿宋_GB2312" w:hAnsi="仿宋_GB2312" w:eastAsia="仿宋_GB2312" w:cs="仿宋_GB2312"/>
          <w:i/>
          <w:spacing w:val="-4"/>
          <w:sz w:val="24"/>
          <w:szCs w:val="22"/>
          <w:vertAlign w:val="subscript"/>
        </w:rPr>
        <w:t>2</w:t>
      </w:r>
      <w:r>
        <w:rPr>
          <w:rFonts w:hint="eastAsia" w:ascii="仿宋_GB2312" w:hAnsi="仿宋_GB2312" w:eastAsia="仿宋_GB2312" w:cs="仿宋_GB2312"/>
          <w:i/>
          <w:spacing w:val="-4"/>
          <w:sz w:val="24"/>
          <w:szCs w:val="22"/>
        </w:rPr>
        <w:t>-r</w:t>
      </w:r>
      <w:r>
        <w:rPr>
          <w:rFonts w:hint="eastAsia" w:ascii="仿宋_GB2312" w:hAnsi="仿宋_GB2312" w:eastAsia="仿宋_GB2312" w:cs="仿宋_GB2312"/>
          <w:i/>
          <w:spacing w:val="-4"/>
          <w:sz w:val="24"/>
          <w:szCs w:val="22"/>
          <w:vertAlign w:val="subscript"/>
        </w:rPr>
        <w:t>1</w:t>
      </w:r>
      <w:r>
        <w:rPr>
          <w:rFonts w:hint="eastAsia" w:ascii="仿宋_GB2312" w:hAnsi="仿宋_GB2312" w:eastAsia="仿宋_GB2312" w:cs="仿宋_GB2312"/>
          <w:i/>
          <w:spacing w:val="-4"/>
          <w:sz w:val="24"/>
          <w:szCs w:val="22"/>
        </w:rPr>
        <w:t>）</w:t>
      </w:r>
      <w:r>
        <w:rPr>
          <w:rFonts w:hint="eastAsia" w:ascii="仿宋_GB2312" w:hAnsi="仿宋_GB2312" w:eastAsia="仿宋_GB2312" w:cs="仿宋_GB2312"/>
          <w:spacing w:val="-4"/>
          <w:sz w:val="24"/>
          <w:szCs w:val="22"/>
        </w:rPr>
        <w:t>;</w:t>
      </w:r>
      <w:r>
        <w:rPr>
          <w:rFonts w:hint="eastAsia" w:ascii="仿宋_GB2312" w:hAnsi="仿宋_GB2312" w:eastAsia="仿宋_GB2312" w:cs="仿宋_GB2312"/>
          <w:sz w:val="24"/>
          <w:szCs w:val="22"/>
        </w:rPr>
        <w:t>③待估价宗地为商住用地等情况时，可以按比例或其他方法计算出住宅用地所分摊的建筑面积。此时住宅用地总地价=住宅用地楼面单价×住宅用地（所分摊的）建筑面积；④待估价宗地为商住用地等情况时，住宅用地部分的容积率修正系数应按综合容积率选用。</w:t>
      </w:r>
    </w:p>
    <w:p>
      <w:pPr>
        <w:numPr>
          <w:ilvl w:val="0"/>
          <w:numId w:val="3"/>
        </w:numPr>
        <w:tabs>
          <w:tab w:val="left" w:pos="0"/>
        </w:tabs>
        <w:spacing w:before="72" w:after="72"/>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楼层修正系数</w:t>
      </w:r>
    </w:p>
    <w:p>
      <w:pPr>
        <w:pStyle w:val="2"/>
      </w:pPr>
    </w:p>
    <w:p>
      <w:pPr>
        <w:pStyle w:val="2"/>
      </w:pPr>
    </w:p>
    <w:p>
      <w:pPr>
        <w:pStyle w:val="2"/>
      </w:pP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多层住宅用地（楼梯楼）楼层分配系数表</w:t>
      </w:r>
    </w:p>
    <w:tbl>
      <w:tblPr>
        <w:tblStyle w:val="47"/>
        <w:tblW w:w="9286" w:type="dxa"/>
        <w:jc w:val="center"/>
        <w:tblInd w:w="0" w:type="dxa"/>
        <w:tblLayout w:type="fixed"/>
        <w:tblCellMar>
          <w:top w:w="0" w:type="dxa"/>
          <w:left w:w="108" w:type="dxa"/>
          <w:bottom w:w="0" w:type="dxa"/>
          <w:right w:w="108" w:type="dxa"/>
        </w:tblCellMar>
      </w:tblPr>
      <w:tblGrid>
        <w:gridCol w:w="1450"/>
        <w:gridCol w:w="869"/>
        <w:gridCol w:w="869"/>
        <w:gridCol w:w="869"/>
        <w:gridCol w:w="869"/>
        <w:gridCol w:w="869"/>
        <w:gridCol w:w="869"/>
        <w:gridCol w:w="869"/>
        <w:gridCol w:w="870"/>
        <w:gridCol w:w="883"/>
      </w:tblGrid>
      <w:tr>
        <w:tblPrEx>
          <w:tblLayout w:type="fixed"/>
          <w:tblCellMar>
            <w:top w:w="0" w:type="dxa"/>
            <w:left w:w="108" w:type="dxa"/>
            <w:bottom w:w="0" w:type="dxa"/>
            <w:right w:w="108" w:type="dxa"/>
          </w:tblCellMar>
        </w:tblPrEx>
        <w:trPr>
          <w:cantSplit/>
          <w:trHeight w:val="651" w:hRule="atLeast"/>
          <w:tblHeader/>
          <w:jc w:val="center"/>
        </w:trPr>
        <w:tc>
          <w:tcPr>
            <w:tcW w:w="1450" w:type="dxa"/>
            <w:tcBorders>
              <w:top w:val="single" w:color="auto" w:sz="4" w:space="0"/>
              <w:left w:val="single" w:color="auto" w:sz="4" w:space="0"/>
              <w:bottom w:val="single" w:color="auto" w:sz="4" w:space="0"/>
              <w:right w:val="single" w:color="auto" w:sz="4" w:space="0"/>
              <w:tl2br w:val="single" w:color="auto" w:sz="4" w:space="0"/>
            </w:tcBorders>
            <w:vAlign w:val="center"/>
          </w:tcPr>
          <w:p>
            <w:pPr>
              <w:adjustRightInd w:val="0"/>
              <w:snapToGrid w:val="0"/>
              <w:spacing w:line="240" w:lineRule="auto"/>
              <w:ind w:firstLine="0" w:firstLineChars="0"/>
              <w:jc w:val="right"/>
              <w:rPr>
                <w:rFonts w:ascii="仿宋_GB2312" w:hAnsi="仿宋_GB2312" w:eastAsia="仿宋_GB2312" w:cs="仿宋_GB2312"/>
                <w:kern w:val="0"/>
                <w:sz w:val="24"/>
              </w:rPr>
            </w:pPr>
            <w:r>
              <w:rPr>
                <w:rFonts w:hint="eastAsia" w:ascii="仿宋_GB2312" w:hAnsi="仿宋_GB2312" w:eastAsia="仿宋_GB2312" w:cs="仿宋_GB2312"/>
                <w:kern w:val="0"/>
                <w:sz w:val="24"/>
              </w:rPr>
              <w:t>总楼层</w:t>
            </w:r>
          </w:p>
          <w:p>
            <w:pPr>
              <w:adjustRightInd w:val="0"/>
              <w:snapToGrid w:val="0"/>
              <w:spacing w:line="240" w:lineRule="auto"/>
              <w:ind w:firstLine="0" w:firstLineChars="0"/>
              <w:jc w:val="right"/>
              <w:rPr>
                <w:rFonts w:ascii="仿宋_GB2312" w:hAnsi="仿宋_GB2312" w:eastAsia="仿宋_GB2312" w:cs="仿宋_GB2312"/>
                <w:kern w:val="0"/>
                <w:sz w:val="24"/>
              </w:rPr>
            </w:pPr>
          </w:p>
          <w:p>
            <w:pPr>
              <w:adjustRightInd w:val="0"/>
              <w:snapToGrid w:val="0"/>
              <w:spacing w:line="240" w:lineRule="auto"/>
              <w:ind w:firstLine="0" w:firstLineChars="0"/>
              <w:rPr>
                <w:rFonts w:ascii="仿宋_GB2312" w:hAnsi="仿宋_GB2312" w:eastAsia="仿宋_GB2312" w:cs="仿宋_GB2312"/>
                <w:kern w:val="0"/>
                <w:sz w:val="24"/>
              </w:rPr>
            </w:pPr>
            <w:r>
              <w:rPr>
                <w:rFonts w:hint="eastAsia" w:ascii="仿宋_GB2312" w:hAnsi="仿宋_GB2312" w:eastAsia="仿宋_GB2312" w:cs="仿宋_GB2312"/>
                <w:kern w:val="0"/>
                <w:sz w:val="24"/>
              </w:rPr>
              <w:t>所在楼层</w:t>
            </w:r>
          </w:p>
        </w:tc>
        <w:tc>
          <w:tcPr>
            <w:tcW w:w="8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w:t>
            </w:r>
          </w:p>
        </w:tc>
        <w:tc>
          <w:tcPr>
            <w:tcW w:w="8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2</w:t>
            </w:r>
          </w:p>
        </w:tc>
        <w:tc>
          <w:tcPr>
            <w:tcW w:w="8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3</w:t>
            </w:r>
          </w:p>
        </w:tc>
        <w:tc>
          <w:tcPr>
            <w:tcW w:w="8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4</w:t>
            </w:r>
          </w:p>
        </w:tc>
        <w:tc>
          <w:tcPr>
            <w:tcW w:w="8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5</w:t>
            </w:r>
          </w:p>
        </w:tc>
        <w:tc>
          <w:tcPr>
            <w:tcW w:w="8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6</w:t>
            </w:r>
          </w:p>
        </w:tc>
        <w:tc>
          <w:tcPr>
            <w:tcW w:w="86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7</w:t>
            </w:r>
          </w:p>
        </w:tc>
        <w:tc>
          <w:tcPr>
            <w:tcW w:w="87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8</w:t>
            </w:r>
          </w:p>
        </w:tc>
        <w:tc>
          <w:tcPr>
            <w:tcW w:w="88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9</w:t>
            </w:r>
          </w:p>
        </w:tc>
      </w:tr>
      <w:tr>
        <w:tblPrEx>
          <w:tblLayout w:type="fixed"/>
          <w:tblCellMar>
            <w:top w:w="0" w:type="dxa"/>
            <w:left w:w="108" w:type="dxa"/>
            <w:bottom w:w="0" w:type="dxa"/>
            <w:right w:w="108" w:type="dxa"/>
          </w:tblCellMar>
        </w:tblPrEx>
        <w:trPr>
          <w:cantSplit/>
          <w:trHeight w:val="369" w:hRule="atLeast"/>
          <w:jc w:val="center"/>
        </w:trPr>
        <w:tc>
          <w:tcPr>
            <w:tcW w:w="14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w:t>
            </w:r>
          </w:p>
        </w:tc>
        <w:tc>
          <w:tcPr>
            <w:tcW w:w="869" w:type="dxa"/>
            <w:tcBorders>
              <w:top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1</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0.995</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0.988</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0.955</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0.95</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0.938</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0.93</w:t>
            </w:r>
          </w:p>
        </w:tc>
        <w:tc>
          <w:tcPr>
            <w:tcW w:w="870"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0.924</w:t>
            </w:r>
          </w:p>
        </w:tc>
        <w:tc>
          <w:tcPr>
            <w:tcW w:w="88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0.921</w:t>
            </w:r>
          </w:p>
        </w:tc>
      </w:tr>
      <w:tr>
        <w:tblPrEx>
          <w:tblLayout w:type="fixed"/>
          <w:tblCellMar>
            <w:top w:w="0" w:type="dxa"/>
            <w:left w:w="108" w:type="dxa"/>
            <w:bottom w:w="0" w:type="dxa"/>
            <w:right w:w="108" w:type="dxa"/>
          </w:tblCellMar>
        </w:tblPrEx>
        <w:trPr>
          <w:cantSplit/>
          <w:trHeight w:val="369" w:hRule="atLeast"/>
          <w:jc w:val="center"/>
        </w:trPr>
        <w:tc>
          <w:tcPr>
            <w:tcW w:w="14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2</w:t>
            </w:r>
          </w:p>
        </w:tc>
        <w:tc>
          <w:tcPr>
            <w:tcW w:w="869" w:type="dxa"/>
            <w:tcBorders>
              <w:top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w w:val="90"/>
                <w:sz w:val="24"/>
              </w:rPr>
              <w:t>--</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1.005</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1.008</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0.984</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0.979</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0.967</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0.958</w:t>
            </w:r>
          </w:p>
        </w:tc>
        <w:tc>
          <w:tcPr>
            <w:tcW w:w="870"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0.952</w:t>
            </w:r>
          </w:p>
        </w:tc>
        <w:tc>
          <w:tcPr>
            <w:tcW w:w="88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0.949</w:t>
            </w:r>
          </w:p>
        </w:tc>
      </w:tr>
      <w:tr>
        <w:tblPrEx>
          <w:tblLayout w:type="fixed"/>
          <w:tblCellMar>
            <w:top w:w="0" w:type="dxa"/>
            <w:left w:w="108" w:type="dxa"/>
            <w:bottom w:w="0" w:type="dxa"/>
            <w:right w:w="108" w:type="dxa"/>
          </w:tblCellMar>
        </w:tblPrEx>
        <w:trPr>
          <w:cantSplit/>
          <w:trHeight w:val="369" w:hRule="atLeast"/>
          <w:jc w:val="center"/>
        </w:trPr>
        <w:tc>
          <w:tcPr>
            <w:tcW w:w="14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3</w:t>
            </w:r>
          </w:p>
        </w:tc>
        <w:tc>
          <w:tcPr>
            <w:tcW w:w="869" w:type="dxa"/>
            <w:tcBorders>
              <w:top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w w:val="90"/>
                <w:sz w:val="24"/>
              </w:rPr>
              <w:t>--</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w w:val="90"/>
                <w:sz w:val="24"/>
              </w:rPr>
              <w:t>--</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1.003</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1.082</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1.077</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1.063</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1.054</w:t>
            </w:r>
          </w:p>
        </w:tc>
        <w:tc>
          <w:tcPr>
            <w:tcW w:w="870"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1.047</w:t>
            </w:r>
          </w:p>
        </w:tc>
        <w:tc>
          <w:tcPr>
            <w:tcW w:w="88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1.044</w:t>
            </w:r>
          </w:p>
        </w:tc>
      </w:tr>
      <w:tr>
        <w:tblPrEx>
          <w:tblLayout w:type="fixed"/>
          <w:tblCellMar>
            <w:top w:w="0" w:type="dxa"/>
            <w:left w:w="108" w:type="dxa"/>
            <w:bottom w:w="0" w:type="dxa"/>
            <w:right w:w="108" w:type="dxa"/>
          </w:tblCellMar>
        </w:tblPrEx>
        <w:trPr>
          <w:cantSplit/>
          <w:trHeight w:val="369" w:hRule="atLeast"/>
          <w:jc w:val="center"/>
        </w:trPr>
        <w:tc>
          <w:tcPr>
            <w:tcW w:w="14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4</w:t>
            </w:r>
          </w:p>
        </w:tc>
        <w:tc>
          <w:tcPr>
            <w:tcW w:w="869" w:type="dxa"/>
            <w:tcBorders>
              <w:top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w w:val="90"/>
                <w:sz w:val="24"/>
              </w:rPr>
              <w:t>--</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w w:val="90"/>
                <w:sz w:val="24"/>
              </w:rPr>
              <w:t>--</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w w:val="90"/>
                <w:sz w:val="24"/>
              </w:rPr>
              <w:t>--</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0.979</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1.015</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1.068</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1.058</w:t>
            </w:r>
          </w:p>
        </w:tc>
        <w:tc>
          <w:tcPr>
            <w:tcW w:w="870"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1.051</w:t>
            </w:r>
          </w:p>
        </w:tc>
        <w:tc>
          <w:tcPr>
            <w:tcW w:w="88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1.048</w:t>
            </w:r>
          </w:p>
        </w:tc>
      </w:tr>
      <w:tr>
        <w:tblPrEx>
          <w:tblLayout w:type="fixed"/>
          <w:tblCellMar>
            <w:top w:w="0" w:type="dxa"/>
            <w:left w:w="108" w:type="dxa"/>
            <w:bottom w:w="0" w:type="dxa"/>
            <w:right w:w="108" w:type="dxa"/>
          </w:tblCellMar>
        </w:tblPrEx>
        <w:trPr>
          <w:cantSplit/>
          <w:trHeight w:val="369" w:hRule="atLeast"/>
          <w:jc w:val="center"/>
        </w:trPr>
        <w:tc>
          <w:tcPr>
            <w:tcW w:w="14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5</w:t>
            </w:r>
          </w:p>
        </w:tc>
        <w:tc>
          <w:tcPr>
            <w:tcW w:w="869" w:type="dxa"/>
            <w:tcBorders>
              <w:top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w w:val="90"/>
                <w:sz w:val="24"/>
              </w:rPr>
              <w:t>--</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w w:val="90"/>
                <w:sz w:val="24"/>
              </w:rPr>
              <w:t>--</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w w:val="90"/>
                <w:sz w:val="24"/>
              </w:rPr>
              <w:t>--</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w w:val="90"/>
                <w:sz w:val="24"/>
              </w:rPr>
              <w:t>--</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0.979</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1.002</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1.058</w:t>
            </w:r>
          </w:p>
        </w:tc>
        <w:tc>
          <w:tcPr>
            <w:tcW w:w="870"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1.051</w:t>
            </w:r>
          </w:p>
        </w:tc>
        <w:tc>
          <w:tcPr>
            <w:tcW w:w="88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1.048</w:t>
            </w:r>
          </w:p>
        </w:tc>
      </w:tr>
      <w:tr>
        <w:tblPrEx>
          <w:tblLayout w:type="fixed"/>
          <w:tblCellMar>
            <w:top w:w="0" w:type="dxa"/>
            <w:left w:w="108" w:type="dxa"/>
            <w:bottom w:w="0" w:type="dxa"/>
            <w:right w:w="108" w:type="dxa"/>
          </w:tblCellMar>
        </w:tblPrEx>
        <w:trPr>
          <w:cantSplit/>
          <w:trHeight w:val="369" w:hRule="atLeast"/>
          <w:jc w:val="center"/>
        </w:trPr>
        <w:tc>
          <w:tcPr>
            <w:tcW w:w="14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6</w:t>
            </w:r>
          </w:p>
        </w:tc>
        <w:tc>
          <w:tcPr>
            <w:tcW w:w="869" w:type="dxa"/>
            <w:tcBorders>
              <w:top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w w:val="90"/>
                <w:sz w:val="24"/>
              </w:rPr>
              <w:t>--</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w w:val="90"/>
                <w:sz w:val="24"/>
              </w:rPr>
              <w:t>--</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w w:val="90"/>
                <w:sz w:val="24"/>
              </w:rPr>
              <w:t>--</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w w:val="90"/>
                <w:sz w:val="24"/>
              </w:rPr>
              <w:t>--</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w w:val="90"/>
                <w:sz w:val="24"/>
              </w:rPr>
              <w:t>--</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0.962</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0.993</w:t>
            </w:r>
          </w:p>
        </w:tc>
        <w:tc>
          <w:tcPr>
            <w:tcW w:w="870"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1.051</w:t>
            </w:r>
          </w:p>
        </w:tc>
        <w:tc>
          <w:tcPr>
            <w:tcW w:w="88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1.048</w:t>
            </w:r>
          </w:p>
        </w:tc>
      </w:tr>
      <w:tr>
        <w:tblPrEx>
          <w:tblLayout w:type="fixed"/>
          <w:tblCellMar>
            <w:top w:w="0" w:type="dxa"/>
            <w:left w:w="108" w:type="dxa"/>
            <w:bottom w:w="0" w:type="dxa"/>
            <w:right w:w="108" w:type="dxa"/>
          </w:tblCellMar>
        </w:tblPrEx>
        <w:trPr>
          <w:cantSplit/>
          <w:trHeight w:val="369" w:hRule="atLeast"/>
          <w:jc w:val="center"/>
        </w:trPr>
        <w:tc>
          <w:tcPr>
            <w:tcW w:w="14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7</w:t>
            </w:r>
          </w:p>
        </w:tc>
        <w:tc>
          <w:tcPr>
            <w:tcW w:w="869" w:type="dxa"/>
            <w:tcBorders>
              <w:top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w w:val="90"/>
                <w:sz w:val="24"/>
              </w:rPr>
              <w:t>--</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w w:val="90"/>
                <w:sz w:val="24"/>
              </w:rPr>
              <w:t>--</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w w:val="90"/>
                <w:sz w:val="24"/>
              </w:rPr>
              <w:t>--</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w w:val="90"/>
                <w:sz w:val="24"/>
              </w:rPr>
              <w:t>--</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w w:val="90"/>
                <w:sz w:val="24"/>
              </w:rPr>
              <w:t>--</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w w:val="90"/>
                <w:sz w:val="24"/>
              </w:rPr>
              <w:t>--</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0.949</w:t>
            </w:r>
          </w:p>
        </w:tc>
        <w:tc>
          <w:tcPr>
            <w:tcW w:w="870"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0.987</w:t>
            </w:r>
          </w:p>
        </w:tc>
        <w:tc>
          <w:tcPr>
            <w:tcW w:w="88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1.03</w:t>
            </w:r>
          </w:p>
        </w:tc>
      </w:tr>
      <w:tr>
        <w:tblPrEx>
          <w:tblLayout w:type="fixed"/>
          <w:tblCellMar>
            <w:top w:w="0" w:type="dxa"/>
            <w:left w:w="108" w:type="dxa"/>
            <w:bottom w:w="0" w:type="dxa"/>
            <w:right w:w="108" w:type="dxa"/>
          </w:tblCellMar>
        </w:tblPrEx>
        <w:trPr>
          <w:cantSplit/>
          <w:trHeight w:val="369" w:hRule="atLeast"/>
          <w:jc w:val="center"/>
        </w:trPr>
        <w:tc>
          <w:tcPr>
            <w:tcW w:w="14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8</w:t>
            </w:r>
          </w:p>
        </w:tc>
        <w:tc>
          <w:tcPr>
            <w:tcW w:w="869" w:type="dxa"/>
            <w:tcBorders>
              <w:top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w w:val="90"/>
                <w:sz w:val="24"/>
              </w:rPr>
              <w:t>--</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w w:val="90"/>
                <w:sz w:val="24"/>
              </w:rPr>
              <w:t>--</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w w:val="90"/>
                <w:sz w:val="24"/>
              </w:rPr>
              <w:t>--</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w w:val="90"/>
                <w:sz w:val="24"/>
              </w:rPr>
              <w:t>--</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w w:val="90"/>
                <w:sz w:val="24"/>
              </w:rPr>
              <w:t>--</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w w:val="90"/>
                <w:sz w:val="24"/>
              </w:rPr>
              <w:t>--</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w w:val="90"/>
                <w:sz w:val="24"/>
              </w:rPr>
              <w:t>--</w:t>
            </w:r>
          </w:p>
        </w:tc>
        <w:tc>
          <w:tcPr>
            <w:tcW w:w="870"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0.938</w:t>
            </w:r>
          </w:p>
        </w:tc>
        <w:tc>
          <w:tcPr>
            <w:tcW w:w="88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0.981</w:t>
            </w:r>
          </w:p>
        </w:tc>
      </w:tr>
      <w:tr>
        <w:tblPrEx>
          <w:tblLayout w:type="fixed"/>
          <w:tblCellMar>
            <w:top w:w="0" w:type="dxa"/>
            <w:left w:w="108" w:type="dxa"/>
            <w:bottom w:w="0" w:type="dxa"/>
            <w:right w:w="108" w:type="dxa"/>
          </w:tblCellMar>
        </w:tblPrEx>
        <w:trPr>
          <w:cantSplit/>
          <w:trHeight w:val="369" w:hRule="atLeast"/>
          <w:jc w:val="center"/>
        </w:trPr>
        <w:tc>
          <w:tcPr>
            <w:tcW w:w="14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9</w:t>
            </w:r>
          </w:p>
        </w:tc>
        <w:tc>
          <w:tcPr>
            <w:tcW w:w="869" w:type="dxa"/>
            <w:tcBorders>
              <w:top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w w:val="90"/>
                <w:sz w:val="24"/>
              </w:rPr>
              <w:t>--</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w w:val="90"/>
                <w:sz w:val="24"/>
              </w:rPr>
              <w:t>--</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w w:val="90"/>
                <w:sz w:val="24"/>
              </w:rPr>
              <w:t>--</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w w:val="90"/>
                <w:sz w:val="24"/>
              </w:rPr>
              <w:t>--</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w w:val="90"/>
                <w:sz w:val="24"/>
              </w:rPr>
              <w:t>--</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w w:val="90"/>
                <w:sz w:val="24"/>
              </w:rPr>
              <w:t>--</w:t>
            </w:r>
          </w:p>
        </w:tc>
        <w:tc>
          <w:tcPr>
            <w:tcW w:w="869"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w w:val="90"/>
                <w:sz w:val="24"/>
              </w:rPr>
              <w:t>--</w:t>
            </w:r>
          </w:p>
        </w:tc>
        <w:tc>
          <w:tcPr>
            <w:tcW w:w="870"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w w:val="90"/>
                <w:sz w:val="24"/>
              </w:rPr>
              <w:t>--</w:t>
            </w:r>
          </w:p>
        </w:tc>
        <w:tc>
          <w:tcPr>
            <w:tcW w:w="88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pacing w:val="-20"/>
                <w:sz w:val="24"/>
              </w:rPr>
              <w:t>0.93</w:t>
            </w:r>
          </w:p>
        </w:tc>
      </w:tr>
    </w:tbl>
    <w:p>
      <w:pPr>
        <w:spacing w:line="60" w:lineRule="exact"/>
        <w:ind w:firstLine="560"/>
      </w:pP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小高层、高层住宅（电梯楼）楼层分配系数表1</w:t>
      </w:r>
    </w:p>
    <w:tbl>
      <w:tblPr>
        <w:tblStyle w:val="47"/>
        <w:tblW w:w="10289"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55"/>
        <w:gridCol w:w="622"/>
        <w:gridCol w:w="622"/>
        <w:gridCol w:w="622"/>
        <w:gridCol w:w="622"/>
        <w:gridCol w:w="622"/>
        <w:gridCol w:w="622"/>
        <w:gridCol w:w="622"/>
        <w:gridCol w:w="622"/>
        <w:gridCol w:w="622"/>
        <w:gridCol w:w="622"/>
        <w:gridCol w:w="622"/>
        <w:gridCol w:w="622"/>
        <w:gridCol w:w="622"/>
        <w:gridCol w:w="622"/>
        <w:gridCol w:w="62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33" w:hRule="atLeast"/>
          <w:tblHeader/>
          <w:jc w:val="center"/>
        </w:trPr>
        <w:tc>
          <w:tcPr>
            <w:tcW w:w="955" w:type="dxa"/>
            <w:tcBorders>
              <w:top w:val="single" w:color="auto" w:sz="4" w:space="0"/>
              <w:left w:val="single" w:color="auto" w:sz="4" w:space="0"/>
              <w:bottom w:val="single" w:color="auto" w:sz="4" w:space="0"/>
              <w:right w:val="single" w:color="auto" w:sz="4" w:space="0"/>
              <w:tl2br w:val="single" w:color="auto" w:sz="6" w:space="0"/>
            </w:tcBorders>
            <w:vAlign w:val="center"/>
          </w:tcPr>
          <w:p>
            <w:pPr>
              <w:snapToGrid w:val="0"/>
              <w:spacing w:line="240" w:lineRule="auto"/>
              <w:ind w:firstLine="0" w:firstLineChars="0"/>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总楼层</w:t>
            </w:r>
          </w:p>
          <w:p>
            <w:pPr>
              <w:snapToGrid w:val="0"/>
              <w:spacing w:line="240" w:lineRule="auto"/>
              <w:ind w:firstLine="0" w:firstLineChars="0"/>
              <w:rPr>
                <w:rFonts w:ascii="仿宋_GB2312" w:hAnsi="仿宋_GB2312" w:eastAsia="仿宋_GB2312" w:cs="仿宋_GB2312"/>
                <w:kern w:val="0"/>
                <w:sz w:val="18"/>
                <w:szCs w:val="18"/>
              </w:rPr>
            </w:pPr>
          </w:p>
          <w:p>
            <w:pPr>
              <w:snapToGrid w:val="0"/>
              <w:spacing w:line="240" w:lineRule="auto"/>
              <w:ind w:firstLine="0" w:firstLineChars="0"/>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所在楼层</w:t>
            </w:r>
          </w:p>
        </w:tc>
        <w:tc>
          <w:tcPr>
            <w:tcW w:w="6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w:t>
            </w:r>
          </w:p>
        </w:tc>
        <w:tc>
          <w:tcPr>
            <w:tcW w:w="6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w:t>
            </w:r>
          </w:p>
        </w:tc>
        <w:tc>
          <w:tcPr>
            <w:tcW w:w="6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w:t>
            </w:r>
          </w:p>
        </w:tc>
        <w:tc>
          <w:tcPr>
            <w:tcW w:w="6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9</w:t>
            </w:r>
          </w:p>
        </w:tc>
        <w:tc>
          <w:tcPr>
            <w:tcW w:w="6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10</w:t>
            </w:r>
          </w:p>
        </w:tc>
        <w:tc>
          <w:tcPr>
            <w:tcW w:w="6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11</w:t>
            </w:r>
          </w:p>
        </w:tc>
        <w:tc>
          <w:tcPr>
            <w:tcW w:w="6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12</w:t>
            </w:r>
          </w:p>
        </w:tc>
        <w:tc>
          <w:tcPr>
            <w:tcW w:w="6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13</w:t>
            </w:r>
          </w:p>
        </w:tc>
        <w:tc>
          <w:tcPr>
            <w:tcW w:w="6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14</w:t>
            </w:r>
          </w:p>
        </w:tc>
        <w:tc>
          <w:tcPr>
            <w:tcW w:w="6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15</w:t>
            </w:r>
          </w:p>
        </w:tc>
        <w:tc>
          <w:tcPr>
            <w:tcW w:w="6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16</w:t>
            </w:r>
          </w:p>
        </w:tc>
        <w:tc>
          <w:tcPr>
            <w:tcW w:w="6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17</w:t>
            </w:r>
          </w:p>
        </w:tc>
        <w:tc>
          <w:tcPr>
            <w:tcW w:w="6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18</w:t>
            </w:r>
          </w:p>
        </w:tc>
        <w:tc>
          <w:tcPr>
            <w:tcW w:w="6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19</w:t>
            </w:r>
          </w:p>
        </w:tc>
        <w:tc>
          <w:tcPr>
            <w:tcW w:w="62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3" w:hRule="atLeast"/>
          <w:jc w:val="center"/>
        </w:trPr>
        <w:tc>
          <w:tcPr>
            <w:tcW w:w="9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0.966</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0.969</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0.955</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0.951</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0.947</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0.943</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0.94</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0.936</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0.933</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0.93</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0.929</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0.923</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0.92</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0.919</w:t>
            </w:r>
          </w:p>
        </w:tc>
        <w:tc>
          <w:tcPr>
            <w:tcW w:w="626"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0.918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3" w:hRule="atLeast"/>
          <w:jc w:val="center"/>
        </w:trPr>
        <w:tc>
          <w:tcPr>
            <w:tcW w:w="9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2</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1.005</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1.008</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0.994</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0.989</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0.985</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0.981</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0.978</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0.974</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0.97</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0.967</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0.966</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0.96</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0.957</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0.956</w:t>
            </w:r>
          </w:p>
        </w:tc>
        <w:tc>
          <w:tcPr>
            <w:tcW w:w="626"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0.955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3" w:hRule="atLeast"/>
          <w:jc w:val="center"/>
        </w:trPr>
        <w:tc>
          <w:tcPr>
            <w:tcW w:w="9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3</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1.011</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1.014</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0.996</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0.991</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0.988</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0.984</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0.98</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0.977</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0.973</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0.972</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0.967</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0.963</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0.962</w:t>
            </w:r>
          </w:p>
        </w:tc>
        <w:tc>
          <w:tcPr>
            <w:tcW w:w="626"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0.961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3" w:hRule="atLeast"/>
          <w:jc w:val="center"/>
        </w:trPr>
        <w:tc>
          <w:tcPr>
            <w:tcW w:w="9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4</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1.011</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1.014</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1.006</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1.002</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0.998</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0.994</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0.986</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0.983</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0.979</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0.978</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0.973</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0.969</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0.968</w:t>
            </w:r>
          </w:p>
        </w:tc>
        <w:tc>
          <w:tcPr>
            <w:tcW w:w="626"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0.967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3" w:hRule="atLeast"/>
          <w:jc w:val="center"/>
        </w:trPr>
        <w:tc>
          <w:tcPr>
            <w:tcW w:w="9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5</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1.005</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1.008</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1.013</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1.008</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1.004</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0.996</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0.993</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0.989</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0.986</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0.984</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0.979</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0.976</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0.974</w:t>
            </w:r>
          </w:p>
        </w:tc>
        <w:tc>
          <w:tcPr>
            <w:tcW w:w="626"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0.973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3" w:hRule="atLeast"/>
          <w:jc w:val="center"/>
        </w:trPr>
        <w:tc>
          <w:tcPr>
            <w:tcW w:w="9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6</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0.992</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0.995</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1.019</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1.015</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1.006</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1.003</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0.999</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0.995</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0.992</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0.991</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0.985</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0.982</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0.98</w:t>
            </w:r>
          </w:p>
        </w:tc>
        <w:tc>
          <w:tcPr>
            <w:tcW w:w="626"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0.979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3" w:hRule="atLeast"/>
          <w:jc w:val="center"/>
        </w:trPr>
        <w:tc>
          <w:tcPr>
            <w:tcW w:w="9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7</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0.982</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1.006</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1.021</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1.017</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1.013</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1.009</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1.005</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1.001</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0.998</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0.997</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0.991</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0.988</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0.986</w:t>
            </w:r>
          </w:p>
        </w:tc>
        <w:tc>
          <w:tcPr>
            <w:tcW w:w="626"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0.986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3" w:hRule="atLeast"/>
          <w:jc w:val="center"/>
        </w:trPr>
        <w:tc>
          <w:tcPr>
            <w:tcW w:w="9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8</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0.994</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1.008</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1.023</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1.019</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1.015</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1.011</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1.008</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1.004</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1.003</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0.997</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0.994</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0.993</w:t>
            </w:r>
          </w:p>
        </w:tc>
        <w:tc>
          <w:tcPr>
            <w:tcW w:w="626"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3" w:hRule="atLeast"/>
          <w:jc w:val="center"/>
        </w:trPr>
        <w:tc>
          <w:tcPr>
            <w:tcW w:w="9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9</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0.996</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1.025</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1.021</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1.018</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1.014</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1.009</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1.003</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0.999</w:t>
            </w:r>
          </w:p>
        </w:tc>
        <w:tc>
          <w:tcPr>
            <w:tcW w:w="626"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3" w:hRule="atLeast"/>
          <w:jc w:val="center"/>
        </w:trPr>
        <w:tc>
          <w:tcPr>
            <w:tcW w:w="9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0.998</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1.013</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1.028</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1.024</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1.017</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1.015</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1.006</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1.005</w:t>
            </w:r>
          </w:p>
        </w:tc>
        <w:tc>
          <w:tcPr>
            <w:tcW w:w="626"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3" w:hRule="atLeast"/>
          <w:jc w:val="center"/>
        </w:trPr>
        <w:tc>
          <w:tcPr>
            <w:tcW w:w="9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11</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0.997</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1.015</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1.026</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1.023</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1.022</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1.016</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1.012</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1.011</w:t>
            </w:r>
          </w:p>
        </w:tc>
        <w:tc>
          <w:tcPr>
            <w:tcW w:w="626"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3" w:hRule="atLeast"/>
          <w:jc w:val="center"/>
        </w:trPr>
        <w:tc>
          <w:tcPr>
            <w:tcW w:w="9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12</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1.003</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1.018</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1.033</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1.029</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1.028</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1.022</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1.018</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1.017</w:t>
            </w:r>
          </w:p>
        </w:tc>
        <w:tc>
          <w:tcPr>
            <w:tcW w:w="626"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3" w:hRule="atLeast"/>
          <w:jc w:val="center"/>
        </w:trPr>
        <w:tc>
          <w:tcPr>
            <w:tcW w:w="9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13</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1.005</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1.035</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1.034</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1.028</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1.025</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1.023</w:t>
            </w:r>
          </w:p>
        </w:tc>
        <w:tc>
          <w:tcPr>
            <w:tcW w:w="626"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3" w:hRule="atLeast"/>
          <w:jc w:val="center"/>
        </w:trPr>
        <w:tc>
          <w:tcPr>
            <w:tcW w:w="9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14</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1.008</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1.023</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1.028</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1.034</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1.031</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1.029</w:t>
            </w:r>
          </w:p>
        </w:tc>
        <w:tc>
          <w:tcPr>
            <w:tcW w:w="626"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3" w:hRule="atLeast"/>
          <w:jc w:val="center"/>
        </w:trPr>
        <w:tc>
          <w:tcPr>
            <w:tcW w:w="9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15</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1.015</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1.041</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1.037</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1.035</w:t>
            </w:r>
          </w:p>
        </w:tc>
        <w:tc>
          <w:tcPr>
            <w:tcW w:w="626"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3" w:hRule="atLeast"/>
          <w:jc w:val="center"/>
        </w:trPr>
        <w:tc>
          <w:tcPr>
            <w:tcW w:w="9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16</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1.003</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1.028</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1.043</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1.042</w:t>
            </w:r>
          </w:p>
        </w:tc>
        <w:tc>
          <w:tcPr>
            <w:tcW w:w="626"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1.041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3" w:hRule="atLeast"/>
          <w:jc w:val="center"/>
        </w:trPr>
        <w:tc>
          <w:tcPr>
            <w:tcW w:w="9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17</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1.016</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1.031</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1.036</w:t>
            </w:r>
          </w:p>
        </w:tc>
        <w:tc>
          <w:tcPr>
            <w:tcW w:w="626"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3" w:hRule="atLeast"/>
          <w:jc w:val="center"/>
        </w:trPr>
        <w:tc>
          <w:tcPr>
            <w:tcW w:w="9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18</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1.018</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1.023</w:t>
            </w:r>
          </w:p>
        </w:tc>
        <w:tc>
          <w:tcPr>
            <w:tcW w:w="626"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3" w:hRule="atLeast"/>
          <w:jc w:val="center"/>
        </w:trPr>
        <w:tc>
          <w:tcPr>
            <w:tcW w:w="9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19</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1.011</w:t>
            </w:r>
          </w:p>
        </w:tc>
        <w:tc>
          <w:tcPr>
            <w:tcW w:w="626"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3" w:hRule="atLeast"/>
          <w:jc w:val="center"/>
        </w:trPr>
        <w:tc>
          <w:tcPr>
            <w:tcW w:w="9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20</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2"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6" w:type="dxa"/>
            <w:tcBorders>
              <w:top w:val="single" w:color="auto" w:sz="4" w:space="0"/>
              <w:left w:val="single" w:color="auto" w:sz="4" w:space="0"/>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1.004</w:t>
            </w:r>
          </w:p>
        </w:tc>
      </w:tr>
    </w:tbl>
    <w:p>
      <w:pPr>
        <w:spacing w:line="60" w:lineRule="exact"/>
        <w:ind w:firstLine="560"/>
      </w:pP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小高层、高层住宅（电梯楼）楼层分配系数表2</w:t>
      </w:r>
    </w:p>
    <w:tbl>
      <w:tblPr>
        <w:tblStyle w:val="47"/>
        <w:tblW w:w="918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
        <w:gridCol w:w="624"/>
        <w:gridCol w:w="624"/>
        <w:gridCol w:w="624"/>
        <w:gridCol w:w="624"/>
        <w:gridCol w:w="624"/>
        <w:gridCol w:w="624"/>
        <w:gridCol w:w="624"/>
        <w:gridCol w:w="624"/>
        <w:gridCol w:w="624"/>
        <w:gridCol w:w="624"/>
        <w:gridCol w:w="624"/>
        <w:gridCol w:w="624"/>
        <w:gridCol w:w="6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atLeast"/>
          <w:tblHeader/>
          <w:jc w:val="center"/>
        </w:trPr>
        <w:tc>
          <w:tcPr>
            <w:tcW w:w="1068" w:type="dxa"/>
            <w:tcBorders>
              <w:top w:val="single" w:color="auto" w:sz="4" w:space="0"/>
              <w:tl2br w:val="single" w:color="auto" w:sz="4" w:space="0"/>
            </w:tcBorders>
            <w:vAlign w:val="center"/>
          </w:tcPr>
          <w:p>
            <w:pPr>
              <w:adjustRightInd w:val="0"/>
              <w:snapToGrid w:val="0"/>
              <w:spacing w:line="240" w:lineRule="auto"/>
              <w:ind w:firstLine="0" w:firstLineChars="0"/>
              <w:jc w:val="left"/>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总楼层</w:t>
            </w:r>
          </w:p>
          <w:p>
            <w:pPr>
              <w:adjustRightInd w:val="0"/>
              <w:snapToGrid w:val="0"/>
              <w:spacing w:line="240" w:lineRule="auto"/>
              <w:ind w:firstLine="0" w:firstLineChars="0"/>
              <w:jc w:val="left"/>
              <w:rPr>
                <w:rFonts w:ascii="仿宋_GB2312" w:hAnsi="仿宋_GB2312" w:eastAsia="仿宋_GB2312" w:cs="仿宋_GB2312"/>
                <w:kern w:val="0"/>
                <w:sz w:val="18"/>
                <w:szCs w:val="18"/>
              </w:rPr>
            </w:pPr>
          </w:p>
          <w:p>
            <w:pPr>
              <w:adjustRightInd w:val="0"/>
              <w:snapToGrid w:val="0"/>
              <w:spacing w:line="240" w:lineRule="auto"/>
              <w:ind w:firstLine="0" w:firstLineChars="0"/>
              <w:jc w:val="left"/>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所在楼层</w:t>
            </w:r>
          </w:p>
        </w:tc>
        <w:tc>
          <w:tcPr>
            <w:tcW w:w="624" w:type="dxa"/>
            <w:tcBorders>
              <w:top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21</w:t>
            </w:r>
          </w:p>
        </w:tc>
        <w:tc>
          <w:tcPr>
            <w:tcW w:w="624" w:type="dxa"/>
            <w:tcBorders>
              <w:top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22</w:t>
            </w:r>
          </w:p>
        </w:tc>
        <w:tc>
          <w:tcPr>
            <w:tcW w:w="624" w:type="dxa"/>
            <w:tcBorders>
              <w:top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23</w:t>
            </w:r>
          </w:p>
        </w:tc>
        <w:tc>
          <w:tcPr>
            <w:tcW w:w="624" w:type="dxa"/>
            <w:tcBorders>
              <w:top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24</w:t>
            </w:r>
          </w:p>
        </w:tc>
        <w:tc>
          <w:tcPr>
            <w:tcW w:w="624" w:type="dxa"/>
            <w:tcBorders>
              <w:top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25</w:t>
            </w:r>
          </w:p>
        </w:tc>
        <w:tc>
          <w:tcPr>
            <w:tcW w:w="624" w:type="dxa"/>
            <w:tcBorders>
              <w:top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26</w:t>
            </w:r>
          </w:p>
        </w:tc>
        <w:tc>
          <w:tcPr>
            <w:tcW w:w="624" w:type="dxa"/>
            <w:tcBorders>
              <w:top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27</w:t>
            </w:r>
          </w:p>
        </w:tc>
        <w:tc>
          <w:tcPr>
            <w:tcW w:w="624" w:type="dxa"/>
            <w:tcBorders>
              <w:top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28</w:t>
            </w:r>
          </w:p>
        </w:tc>
        <w:tc>
          <w:tcPr>
            <w:tcW w:w="624" w:type="dxa"/>
            <w:tcBorders>
              <w:top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29</w:t>
            </w:r>
          </w:p>
        </w:tc>
        <w:tc>
          <w:tcPr>
            <w:tcW w:w="624" w:type="dxa"/>
            <w:tcBorders>
              <w:top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30</w:t>
            </w:r>
          </w:p>
        </w:tc>
        <w:tc>
          <w:tcPr>
            <w:tcW w:w="624" w:type="dxa"/>
            <w:tcBorders>
              <w:top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31</w:t>
            </w:r>
          </w:p>
        </w:tc>
        <w:tc>
          <w:tcPr>
            <w:tcW w:w="624" w:type="dxa"/>
            <w:tcBorders>
              <w:top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32</w:t>
            </w:r>
          </w:p>
        </w:tc>
        <w:tc>
          <w:tcPr>
            <w:tcW w:w="628" w:type="dxa"/>
            <w:tcBorders>
              <w:top w:val="single" w:color="auto" w:sz="4" w:space="0"/>
            </w:tcBorders>
            <w:vAlign w:val="center"/>
          </w:tcPr>
          <w:p>
            <w:pPr>
              <w:adjustRightInd w:val="0"/>
              <w:snapToGrid w:val="0"/>
              <w:spacing w:line="240" w:lineRule="auto"/>
              <w:ind w:firstLine="0" w:firstLineChars="0"/>
              <w:jc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atLeast"/>
          <w:jc w:val="center"/>
        </w:trPr>
        <w:tc>
          <w:tcPr>
            <w:tcW w:w="1068" w:type="dxa"/>
            <w:vAlign w:val="center"/>
          </w:tcPr>
          <w:p>
            <w:pPr>
              <w:adjustRightInd w:val="0"/>
              <w:snapToGrid w:val="0"/>
              <w:spacing w:line="240" w:lineRule="auto"/>
              <w:ind w:firstLine="0" w:firstLineChars="0"/>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1</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0.918</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0.914</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0.911</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0.908</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0.908</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0.904</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0.901</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0.898</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0.895</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0.919</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0.892</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0.89</w:t>
            </w:r>
          </w:p>
        </w:tc>
        <w:tc>
          <w:tcPr>
            <w:tcW w:w="628"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atLeast"/>
          <w:jc w:val="center"/>
        </w:trPr>
        <w:tc>
          <w:tcPr>
            <w:tcW w:w="1068" w:type="dxa"/>
            <w:vAlign w:val="center"/>
          </w:tcPr>
          <w:p>
            <w:pPr>
              <w:adjustRightInd w:val="0"/>
              <w:snapToGrid w:val="0"/>
              <w:spacing w:line="240" w:lineRule="auto"/>
              <w:ind w:firstLine="0" w:firstLineChars="0"/>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2</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0.954</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0.951</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0.948</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0.944</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0.944</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0.941</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0.937</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0.934</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0.931</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0.956</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0.928</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0.926</w:t>
            </w:r>
          </w:p>
        </w:tc>
        <w:tc>
          <w:tcPr>
            <w:tcW w:w="628"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atLeast"/>
          <w:jc w:val="center"/>
        </w:trPr>
        <w:tc>
          <w:tcPr>
            <w:tcW w:w="1068" w:type="dxa"/>
            <w:vAlign w:val="center"/>
          </w:tcPr>
          <w:p>
            <w:pPr>
              <w:adjustRightInd w:val="0"/>
              <w:snapToGrid w:val="0"/>
              <w:spacing w:line="240" w:lineRule="auto"/>
              <w:ind w:firstLine="0" w:firstLineChars="0"/>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3</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0.961</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0.957</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0.954</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0.95</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0.95</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0.947</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0.943</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0.94</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0.937</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0.962</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0.934</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0.932</w:t>
            </w:r>
          </w:p>
        </w:tc>
        <w:tc>
          <w:tcPr>
            <w:tcW w:w="628"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atLeast"/>
          <w:jc w:val="center"/>
        </w:trPr>
        <w:tc>
          <w:tcPr>
            <w:tcW w:w="1068" w:type="dxa"/>
            <w:vAlign w:val="center"/>
          </w:tcPr>
          <w:p>
            <w:pPr>
              <w:adjustRightInd w:val="0"/>
              <w:snapToGrid w:val="0"/>
              <w:spacing w:line="240" w:lineRule="auto"/>
              <w:ind w:firstLine="0" w:firstLineChars="0"/>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4</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0.967</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0.963</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0.96</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0.957</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0.956</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0.953</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0.949</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0.946</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0.943</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0.968</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0.94</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0.937</w:t>
            </w:r>
          </w:p>
        </w:tc>
        <w:tc>
          <w:tcPr>
            <w:tcW w:w="628"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atLeast"/>
          <w:jc w:val="center"/>
        </w:trPr>
        <w:tc>
          <w:tcPr>
            <w:tcW w:w="1068" w:type="dxa"/>
            <w:vAlign w:val="center"/>
          </w:tcPr>
          <w:p>
            <w:pPr>
              <w:adjustRightInd w:val="0"/>
              <w:snapToGrid w:val="0"/>
              <w:spacing w:line="240" w:lineRule="auto"/>
              <w:ind w:firstLine="0" w:firstLineChars="0"/>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5</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0.973</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0.969</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0.966</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0.963</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0.962</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0.959</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0.955</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0.952</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0.949</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0.974</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0.946</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0.943</w:t>
            </w:r>
          </w:p>
        </w:tc>
        <w:tc>
          <w:tcPr>
            <w:tcW w:w="628"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atLeast"/>
          <w:jc w:val="center"/>
        </w:trPr>
        <w:tc>
          <w:tcPr>
            <w:tcW w:w="1068" w:type="dxa"/>
            <w:vAlign w:val="center"/>
          </w:tcPr>
          <w:p>
            <w:pPr>
              <w:adjustRightInd w:val="0"/>
              <w:snapToGrid w:val="0"/>
              <w:spacing w:line="240" w:lineRule="auto"/>
              <w:ind w:firstLine="0" w:firstLineChars="0"/>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6</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0.979</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0.975</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0.972</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0.969</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0.968</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0.965</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0.961</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0.958</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0.955</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0.98</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0.952</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0.949</w:t>
            </w:r>
          </w:p>
        </w:tc>
        <w:tc>
          <w:tcPr>
            <w:tcW w:w="628"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atLeast"/>
          <w:jc w:val="center"/>
        </w:trPr>
        <w:tc>
          <w:tcPr>
            <w:tcW w:w="1068" w:type="dxa"/>
            <w:vAlign w:val="center"/>
          </w:tcPr>
          <w:p>
            <w:pPr>
              <w:adjustRightInd w:val="0"/>
              <w:snapToGrid w:val="0"/>
              <w:spacing w:line="240" w:lineRule="auto"/>
              <w:ind w:firstLine="0" w:firstLineChars="0"/>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7</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0.985</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0.982</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0.978</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0.975</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0.974</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0.971</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0.967</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0.964</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0.961</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0.987</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0.958</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0.955</w:t>
            </w:r>
          </w:p>
        </w:tc>
        <w:tc>
          <w:tcPr>
            <w:tcW w:w="628"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atLeast"/>
          <w:jc w:val="center"/>
        </w:trPr>
        <w:tc>
          <w:tcPr>
            <w:tcW w:w="1068" w:type="dxa"/>
            <w:vAlign w:val="center"/>
          </w:tcPr>
          <w:p>
            <w:pPr>
              <w:adjustRightInd w:val="0"/>
              <w:snapToGrid w:val="0"/>
              <w:spacing w:line="240" w:lineRule="auto"/>
              <w:ind w:firstLine="0" w:firstLineChars="0"/>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8</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0.991</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0.988</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0.984</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0.981</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0.98</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0.977</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0.973</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0.97</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0.967</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0.993</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0.964</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0.961</w:t>
            </w:r>
          </w:p>
        </w:tc>
        <w:tc>
          <w:tcPr>
            <w:tcW w:w="628"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atLeast"/>
          <w:jc w:val="center"/>
        </w:trPr>
        <w:tc>
          <w:tcPr>
            <w:tcW w:w="1068" w:type="dxa"/>
            <w:vAlign w:val="center"/>
          </w:tcPr>
          <w:p>
            <w:pPr>
              <w:adjustRightInd w:val="0"/>
              <w:snapToGrid w:val="0"/>
              <w:spacing w:line="240" w:lineRule="auto"/>
              <w:ind w:firstLine="0" w:firstLineChars="0"/>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9</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0.997</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0.994</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0.987</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0.986</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0.983</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0.98</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0.976</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0.973</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0.999</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0.97</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0.967</w:t>
            </w:r>
          </w:p>
        </w:tc>
        <w:tc>
          <w:tcPr>
            <w:tcW w:w="628"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atLeast"/>
          <w:jc w:val="center"/>
        </w:trPr>
        <w:tc>
          <w:tcPr>
            <w:tcW w:w="1068" w:type="dxa"/>
            <w:vAlign w:val="center"/>
          </w:tcPr>
          <w:p>
            <w:pPr>
              <w:adjustRightInd w:val="0"/>
              <w:snapToGrid w:val="0"/>
              <w:spacing w:line="240" w:lineRule="auto"/>
              <w:ind w:firstLine="0" w:firstLineChars="0"/>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10</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1.003</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0.996</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0.993</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0.992</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0.989</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0.986</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0.982</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0.979</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1.005</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0.976</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0.973</w:t>
            </w:r>
          </w:p>
        </w:tc>
        <w:tc>
          <w:tcPr>
            <w:tcW w:w="628"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atLeast"/>
          <w:jc w:val="center"/>
        </w:trPr>
        <w:tc>
          <w:tcPr>
            <w:tcW w:w="1068" w:type="dxa"/>
            <w:vAlign w:val="center"/>
          </w:tcPr>
          <w:p>
            <w:pPr>
              <w:adjustRightInd w:val="0"/>
              <w:snapToGrid w:val="0"/>
              <w:spacing w:line="240" w:lineRule="auto"/>
              <w:ind w:firstLine="0" w:firstLineChars="0"/>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11</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1.009</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1.006</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1.002</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0.999</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0.998</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0.995</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0.992</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0.988</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0.985</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1.011</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0.982</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0.979</w:t>
            </w:r>
          </w:p>
        </w:tc>
        <w:tc>
          <w:tcPr>
            <w:tcW w:w="628"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atLeast"/>
          <w:jc w:val="center"/>
        </w:trPr>
        <w:tc>
          <w:tcPr>
            <w:tcW w:w="1068" w:type="dxa"/>
            <w:vAlign w:val="center"/>
          </w:tcPr>
          <w:p>
            <w:pPr>
              <w:adjustRightInd w:val="0"/>
              <w:snapToGrid w:val="0"/>
              <w:spacing w:line="240" w:lineRule="auto"/>
              <w:ind w:firstLine="0" w:firstLineChars="0"/>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12</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1.016</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1.012</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1.008</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1.005</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1.004</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1.001</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0.998</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0.994</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0.991</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1.017</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0.987</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0.985</w:t>
            </w:r>
          </w:p>
        </w:tc>
        <w:tc>
          <w:tcPr>
            <w:tcW w:w="628"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atLeast"/>
          <w:jc w:val="center"/>
        </w:trPr>
        <w:tc>
          <w:tcPr>
            <w:tcW w:w="1068" w:type="dxa"/>
            <w:vAlign w:val="center"/>
          </w:tcPr>
          <w:p>
            <w:pPr>
              <w:adjustRightInd w:val="0"/>
              <w:snapToGrid w:val="0"/>
              <w:spacing w:line="240" w:lineRule="auto"/>
              <w:ind w:firstLine="0" w:firstLineChars="0"/>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13</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1.022</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1.018</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1.014</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1.011</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1.007</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1.003</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0.997</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1.023</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0.993</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0.991</w:t>
            </w:r>
          </w:p>
        </w:tc>
        <w:tc>
          <w:tcPr>
            <w:tcW w:w="628"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atLeast"/>
          <w:jc w:val="center"/>
        </w:trPr>
        <w:tc>
          <w:tcPr>
            <w:tcW w:w="1068" w:type="dxa"/>
            <w:vAlign w:val="center"/>
          </w:tcPr>
          <w:p>
            <w:pPr>
              <w:adjustRightInd w:val="0"/>
              <w:snapToGrid w:val="0"/>
              <w:spacing w:line="240" w:lineRule="auto"/>
              <w:ind w:firstLine="0" w:firstLineChars="0"/>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14</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1.028</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1.024</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1.021</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1.017</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1.017</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1.013</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1.009</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1.006</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1.003</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1.029</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0.999</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0.997</w:t>
            </w:r>
          </w:p>
        </w:tc>
        <w:tc>
          <w:tcPr>
            <w:tcW w:w="628"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atLeast"/>
          <w:jc w:val="center"/>
        </w:trPr>
        <w:tc>
          <w:tcPr>
            <w:tcW w:w="1068" w:type="dxa"/>
            <w:vAlign w:val="center"/>
          </w:tcPr>
          <w:p>
            <w:pPr>
              <w:adjustRightInd w:val="0"/>
              <w:snapToGrid w:val="0"/>
              <w:spacing w:line="240" w:lineRule="auto"/>
              <w:ind w:firstLine="0" w:firstLineChars="0"/>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15</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1.034</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1.027</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1.023</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1.023</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1.019</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1.016</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1.012</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1.009</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1.036</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1.005</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1.003</w:t>
            </w:r>
          </w:p>
        </w:tc>
        <w:tc>
          <w:tcPr>
            <w:tcW w:w="628"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atLeast"/>
          <w:jc w:val="center"/>
        </w:trPr>
        <w:tc>
          <w:tcPr>
            <w:tcW w:w="1068" w:type="dxa"/>
            <w:vAlign w:val="center"/>
          </w:tcPr>
          <w:p>
            <w:pPr>
              <w:adjustRightInd w:val="0"/>
              <w:snapToGrid w:val="0"/>
              <w:spacing w:line="240" w:lineRule="auto"/>
              <w:ind w:firstLine="0" w:firstLineChars="0"/>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16</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1.04</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1.036</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1.033</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1.029</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1.029</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1.025</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1.022</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1.018</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1.015</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1.042</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1.011</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1.009</w:t>
            </w:r>
          </w:p>
        </w:tc>
        <w:tc>
          <w:tcPr>
            <w:tcW w:w="628"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atLeast"/>
          <w:jc w:val="center"/>
        </w:trPr>
        <w:tc>
          <w:tcPr>
            <w:tcW w:w="1068" w:type="dxa"/>
            <w:vAlign w:val="center"/>
          </w:tcPr>
          <w:p>
            <w:pPr>
              <w:adjustRightInd w:val="0"/>
              <w:snapToGrid w:val="0"/>
              <w:spacing w:line="240" w:lineRule="auto"/>
              <w:ind w:firstLine="0" w:firstLineChars="0"/>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17</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1.034</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1.042</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1.039</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1.035</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1.035</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1.031</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1.028</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1.024</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1.021</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1.048</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1.017</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1.015</w:t>
            </w:r>
          </w:p>
        </w:tc>
        <w:tc>
          <w:tcPr>
            <w:tcW w:w="628"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atLeast"/>
          <w:jc w:val="center"/>
        </w:trPr>
        <w:tc>
          <w:tcPr>
            <w:tcW w:w="1068" w:type="dxa"/>
            <w:vAlign w:val="center"/>
          </w:tcPr>
          <w:p>
            <w:pPr>
              <w:adjustRightInd w:val="0"/>
              <w:snapToGrid w:val="0"/>
              <w:spacing w:line="240" w:lineRule="auto"/>
              <w:ind w:firstLine="0" w:firstLineChars="0"/>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18</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1.028</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1.036</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1.045</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1.041</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1.041</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1.037</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1.034</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1.027</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1.054</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1.023</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w:t>
            </w:r>
          </w:p>
        </w:tc>
        <w:tc>
          <w:tcPr>
            <w:tcW w:w="628"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atLeast"/>
          <w:jc w:val="center"/>
        </w:trPr>
        <w:tc>
          <w:tcPr>
            <w:tcW w:w="1068" w:type="dxa"/>
            <w:vAlign w:val="center"/>
          </w:tcPr>
          <w:p>
            <w:pPr>
              <w:adjustRightInd w:val="0"/>
              <w:snapToGrid w:val="0"/>
              <w:spacing w:line="240" w:lineRule="auto"/>
              <w:ind w:firstLine="0" w:firstLineChars="0"/>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19</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1.022</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1.039</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1.047</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1.047</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1.043</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1.04</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1.036</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1.033</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1.06</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1.029</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1.026</w:t>
            </w:r>
          </w:p>
        </w:tc>
        <w:tc>
          <w:tcPr>
            <w:tcW w:w="628"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atLeast"/>
          <w:jc w:val="center"/>
        </w:trPr>
        <w:tc>
          <w:tcPr>
            <w:tcW w:w="1068" w:type="dxa"/>
            <w:vAlign w:val="center"/>
          </w:tcPr>
          <w:p>
            <w:pPr>
              <w:adjustRightInd w:val="0"/>
              <w:snapToGrid w:val="0"/>
              <w:spacing w:line="240" w:lineRule="auto"/>
              <w:ind w:firstLine="0" w:firstLineChars="0"/>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20</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1.009</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1.024</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1.033</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1.041</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1.041</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1.049</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1.046</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1.042</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1.039</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1.066</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1.035</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1.032</w:t>
            </w:r>
          </w:p>
        </w:tc>
        <w:tc>
          <w:tcPr>
            <w:tcW w:w="628"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atLeast"/>
          <w:jc w:val="center"/>
        </w:trPr>
        <w:tc>
          <w:tcPr>
            <w:tcW w:w="1068" w:type="dxa"/>
            <w:vAlign w:val="center"/>
          </w:tcPr>
          <w:p>
            <w:pPr>
              <w:adjustRightInd w:val="0"/>
              <w:snapToGrid w:val="0"/>
              <w:spacing w:line="240" w:lineRule="auto"/>
              <w:ind w:firstLine="0" w:firstLineChars="0"/>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21</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0.997</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1.012</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1.027</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1.035</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1.035</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1.043</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1.052</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1.048</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1.045</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1.072</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1.041</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1.038</w:t>
            </w:r>
          </w:p>
        </w:tc>
        <w:tc>
          <w:tcPr>
            <w:tcW w:w="628"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atLeast"/>
          <w:jc w:val="center"/>
        </w:trPr>
        <w:tc>
          <w:tcPr>
            <w:tcW w:w="1068" w:type="dxa"/>
            <w:vAlign w:val="center"/>
          </w:tcPr>
          <w:p>
            <w:pPr>
              <w:adjustRightInd w:val="0"/>
              <w:snapToGrid w:val="0"/>
              <w:spacing w:line="240" w:lineRule="auto"/>
              <w:ind w:firstLine="0" w:firstLineChars="0"/>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22</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1.014</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1.029</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1.029</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1.037</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1.046</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1.054</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1.051</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1.078</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1.047</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1.044</w:t>
            </w:r>
          </w:p>
        </w:tc>
        <w:tc>
          <w:tcPr>
            <w:tcW w:w="628"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atLeast"/>
          <w:jc w:val="center"/>
        </w:trPr>
        <w:tc>
          <w:tcPr>
            <w:tcW w:w="1068" w:type="dxa"/>
            <w:vAlign w:val="center"/>
          </w:tcPr>
          <w:p>
            <w:pPr>
              <w:adjustRightInd w:val="0"/>
              <w:snapToGrid w:val="0"/>
              <w:spacing w:line="240" w:lineRule="auto"/>
              <w:ind w:firstLine="0" w:firstLineChars="0"/>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23</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1.002</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1.017</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1.023</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1.031</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1.04</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1.048</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1.056</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1.085</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1.053</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1.05</w:t>
            </w:r>
          </w:p>
        </w:tc>
        <w:tc>
          <w:tcPr>
            <w:tcW w:w="628"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atLeast"/>
          <w:jc w:val="center"/>
        </w:trPr>
        <w:tc>
          <w:tcPr>
            <w:tcW w:w="1068" w:type="dxa"/>
            <w:vAlign w:val="center"/>
          </w:tcPr>
          <w:p>
            <w:pPr>
              <w:adjustRightInd w:val="0"/>
              <w:snapToGrid w:val="0"/>
              <w:spacing w:line="240" w:lineRule="auto"/>
              <w:ind w:firstLine="0" w:firstLineChars="0"/>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24</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1.005</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1.025</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1.034</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1.042</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1.051</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0.962</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1.059</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1.056</w:t>
            </w:r>
          </w:p>
        </w:tc>
        <w:tc>
          <w:tcPr>
            <w:tcW w:w="628"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atLeast"/>
          <w:jc w:val="center"/>
        </w:trPr>
        <w:tc>
          <w:tcPr>
            <w:tcW w:w="1068" w:type="dxa"/>
            <w:vAlign w:val="center"/>
          </w:tcPr>
          <w:p>
            <w:pPr>
              <w:adjustRightInd w:val="0"/>
              <w:snapToGrid w:val="0"/>
              <w:spacing w:line="240" w:lineRule="auto"/>
              <w:ind w:firstLine="0" w:firstLineChars="0"/>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25</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0.998</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1.013</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1.028</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1.036</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1.045</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0.956</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1.053</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1.062</w:t>
            </w:r>
          </w:p>
        </w:tc>
        <w:tc>
          <w:tcPr>
            <w:tcW w:w="628"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atLeast"/>
          <w:jc w:val="center"/>
        </w:trPr>
        <w:tc>
          <w:tcPr>
            <w:tcW w:w="1068" w:type="dxa"/>
            <w:vAlign w:val="center"/>
          </w:tcPr>
          <w:p>
            <w:pPr>
              <w:adjustRightInd w:val="0"/>
              <w:snapToGrid w:val="0"/>
              <w:spacing w:line="240" w:lineRule="auto"/>
              <w:ind w:firstLine="0" w:firstLineChars="0"/>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26</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1.001</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1.016</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1.039</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0.95</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1.047</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1.056</w:t>
            </w:r>
          </w:p>
        </w:tc>
        <w:tc>
          <w:tcPr>
            <w:tcW w:w="628"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atLeast"/>
          <w:jc w:val="center"/>
        </w:trPr>
        <w:tc>
          <w:tcPr>
            <w:tcW w:w="1068" w:type="dxa"/>
            <w:vAlign w:val="center"/>
          </w:tcPr>
          <w:p>
            <w:pPr>
              <w:adjustRightInd w:val="0"/>
              <w:snapToGrid w:val="0"/>
              <w:spacing w:line="240" w:lineRule="auto"/>
              <w:ind w:firstLine="0" w:firstLineChars="0"/>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27</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1.003</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1.018</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1.033</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0.944</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1.041</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1.05</w:t>
            </w:r>
          </w:p>
        </w:tc>
        <w:tc>
          <w:tcPr>
            <w:tcW w:w="628"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atLeast"/>
          <w:jc w:val="center"/>
        </w:trPr>
        <w:tc>
          <w:tcPr>
            <w:tcW w:w="1068" w:type="dxa"/>
            <w:vAlign w:val="center"/>
          </w:tcPr>
          <w:p>
            <w:pPr>
              <w:adjustRightInd w:val="0"/>
              <w:snapToGrid w:val="0"/>
              <w:spacing w:line="240" w:lineRule="auto"/>
              <w:ind w:firstLine="0" w:firstLineChars="0"/>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28</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1.006</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1.021</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0.937</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1.035</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1.044</w:t>
            </w:r>
          </w:p>
        </w:tc>
        <w:tc>
          <w:tcPr>
            <w:tcW w:w="628"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atLeast"/>
          <w:jc w:val="center"/>
        </w:trPr>
        <w:tc>
          <w:tcPr>
            <w:tcW w:w="1068" w:type="dxa"/>
            <w:vAlign w:val="center"/>
          </w:tcPr>
          <w:p>
            <w:pPr>
              <w:adjustRightInd w:val="0"/>
              <w:snapToGrid w:val="0"/>
              <w:spacing w:line="240" w:lineRule="auto"/>
              <w:ind w:firstLine="0" w:firstLineChars="0"/>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29</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1.009</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0.925</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1.023</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1.032</w:t>
            </w:r>
          </w:p>
        </w:tc>
        <w:tc>
          <w:tcPr>
            <w:tcW w:w="628"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atLeast"/>
          <w:jc w:val="center"/>
        </w:trPr>
        <w:tc>
          <w:tcPr>
            <w:tcW w:w="1068" w:type="dxa"/>
            <w:vAlign w:val="center"/>
          </w:tcPr>
          <w:p>
            <w:pPr>
              <w:adjustRightInd w:val="0"/>
              <w:snapToGrid w:val="0"/>
              <w:spacing w:line="240" w:lineRule="auto"/>
              <w:ind w:firstLine="0" w:firstLineChars="0"/>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30</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0.913</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1.011</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w:t>
            </w:r>
          </w:p>
        </w:tc>
        <w:tc>
          <w:tcPr>
            <w:tcW w:w="628"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atLeast"/>
          <w:jc w:val="center"/>
        </w:trPr>
        <w:tc>
          <w:tcPr>
            <w:tcW w:w="1068" w:type="dxa"/>
            <w:vAlign w:val="center"/>
          </w:tcPr>
          <w:p>
            <w:pPr>
              <w:adjustRightInd w:val="0"/>
              <w:snapToGrid w:val="0"/>
              <w:spacing w:line="240" w:lineRule="auto"/>
              <w:ind w:firstLine="0" w:firstLineChars="0"/>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31</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0.999</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1.009</w:t>
            </w:r>
          </w:p>
        </w:tc>
        <w:tc>
          <w:tcPr>
            <w:tcW w:w="628"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1.009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atLeast"/>
          <w:jc w:val="center"/>
        </w:trPr>
        <w:tc>
          <w:tcPr>
            <w:tcW w:w="1068" w:type="dxa"/>
            <w:vAlign w:val="center"/>
          </w:tcPr>
          <w:p>
            <w:pPr>
              <w:adjustRightInd w:val="0"/>
              <w:snapToGrid w:val="0"/>
              <w:spacing w:line="240" w:lineRule="auto"/>
              <w:ind w:firstLine="0" w:firstLineChars="0"/>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32</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0.997</w:t>
            </w:r>
          </w:p>
        </w:tc>
        <w:tc>
          <w:tcPr>
            <w:tcW w:w="628"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4" w:hRule="atLeast"/>
          <w:jc w:val="center"/>
        </w:trPr>
        <w:tc>
          <w:tcPr>
            <w:tcW w:w="1068" w:type="dxa"/>
            <w:vAlign w:val="center"/>
          </w:tcPr>
          <w:p>
            <w:pPr>
              <w:adjustRightInd w:val="0"/>
              <w:snapToGrid w:val="0"/>
              <w:spacing w:line="240" w:lineRule="auto"/>
              <w:ind w:firstLine="0" w:firstLineChars="0"/>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33</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4" w:type="dxa"/>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w:t>
            </w:r>
          </w:p>
        </w:tc>
        <w:tc>
          <w:tcPr>
            <w:tcW w:w="628"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w w:val="90"/>
                <w:sz w:val="18"/>
                <w:szCs w:val="18"/>
              </w:rPr>
            </w:pPr>
            <w:r>
              <w:rPr>
                <w:rFonts w:hint="eastAsia" w:ascii="仿宋_GB2312" w:hAnsi="仿宋_GB2312" w:eastAsia="仿宋_GB2312" w:cs="仿宋_GB2312"/>
                <w:w w:val="90"/>
                <w:sz w:val="18"/>
                <w:szCs w:val="18"/>
              </w:rPr>
              <w:t>0.973</w:t>
            </w:r>
          </w:p>
        </w:tc>
      </w:tr>
    </w:tbl>
    <w:p>
      <w:pPr>
        <w:spacing w:beforeLines="25" w:afterLines="25" w:line="240" w:lineRule="auto"/>
        <w:rPr>
          <w:rFonts w:ascii="仿宋_GB2312" w:hAnsi="仿宋_GB2312" w:eastAsia="仿宋_GB2312" w:cs="仿宋_GB2312"/>
          <w:sz w:val="24"/>
        </w:rPr>
      </w:pPr>
      <w:r>
        <w:rPr>
          <w:rFonts w:hint="eastAsia" w:ascii="仿宋_GB2312" w:hAnsi="仿宋_GB2312" w:eastAsia="仿宋_GB2312" w:cs="仿宋_GB2312"/>
          <w:sz w:val="24"/>
        </w:rPr>
        <w:t>注：楼层分配修正系数是对住宅楼整体平均楼面地价修正至具体某一层的楼面地价修正。</w:t>
      </w:r>
    </w:p>
    <w:bookmarkEnd w:id="68"/>
    <w:bookmarkEnd w:id="69"/>
    <w:bookmarkEnd w:id="70"/>
    <w:bookmarkEnd w:id="71"/>
    <w:bookmarkEnd w:id="72"/>
    <w:p>
      <w:pPr>
        <w:numPr>
          <w:ilvl w:val="0"/>
          <w:numId w:val="3"/>
        </w:numPr>
        <w:tabs>
          <w:tab w:val="left" w:pos="0"/>
        </w:tabs>
        <w:spacing w:before="72" w:after="72"/>
        <w:ind w:firstLineChars="0"/>
        <w:rPr>
          <w:rFonts w:ascii="仿宋_GB2312" w:hAnsi="仿宋_GB2312" w:eastAsia="仿宋_GB2312" w:cs="仿宋_GB2312"/>
          <w:sz w:val="32"/>
          <w:szCs w:val="32"/>
        </w:rPr>
      </w:pPr>
      <w:bookmarkStart w:id="73" w:name="_Toc435179423"/>
      <w:bookmarkStart w:id="74" w:name="_Toc435109087"/>
      <w:bookmarkStart w:id="75" w:name="_Toc435438839"/>
      <w:bookmarkStart w:id="76" w:name="_Toc435192441"/>
      <w:bookmarkStart w:id="77" w:name="_Toc435108586"/>
      <w:r>
        <w:rPr>
          <w:rFonts w:hint="eastAsia" w:ascii="仿宋_GB2312" w:hAnsi="仿宋_GB2312" w:eastAsia="仿宋_GB2312" w:cs="仿宋_GB2312"/>
          <w:sz w:val="32"/>
          <w:szCs w:val="32"/>
        </w:rPr>
        <w:t>其他个别因素修正编制</w:t>
      </w: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其他个别因素修正系数</w:t>
      </w:r>
    </w:p>
    <w:tbl>
      <w:tblPr>
        <w:tblStyle w:val="47"/>
        <w:tblW w:w="907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02"/>
        <w:gridCol w:w="1341"/>
        <w:gridCol w:w="1141"/>
        <w:gridCol w:w="1270"/>
        <w:gridCol w:w="1386"/>
        <w:gridCol w:w="1388"/>
        <w:gridCol w:w="14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2443" w:type="dxa"/>
            <w:gridSpan w:val="2"/>
            <w:tcBorders>
              <w:top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指标标准</w:t>
            </w:r>
          </w:p>
        </w:tc>
        <w:tc>
          <w:tcPr>
            <w:tcW w:w="1141" w:type="dxa"/>
            <w:tcBorders>
              <w:top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优</w:t>
            </w:r>
          </w:p>
        </w:tc>
        <w:tc>
          <w:tcPr>
            <w:tcW w:w="1270" w:type="dxa"/>
            <w:tcBorders>
              <w:top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较优</w:t>
            </w:r>
          </w:p>
        </w:tc>
        <w:tc>
          <w:tcPr>
            <w:tcW w:w="1386" w:type="dxa"/>
            <w:tcBorders>
              <w:top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一般</w:t>
            </w:r>
          </w:p>
        </w:tc>
        <w:tc>
          <w:tcPr>
            <w:tcW w:w="1388" w:type="dxa"/>
            <w:tcBorders>
              <w:top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较劣</w:t>
            </w:r>
          </w:p>
        </w:tc>
        <w:tc>
          <w:tcPr>
            <w:tcW w:w="1442" w:type="dxa"/>
            <w:tcBorders>
              <w:top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102" w:type="dxa"/>
            <w:vMerge w:val="restart"/>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宗地大小</w:t>
            </w:r>
          </w:p>
        </w:tc>
        <w:tc>
          <w:tcPr>
            <w:tcW w:w="1341"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指标说明</w:t>
            </w:r>
          </w:p>
        </w:tc>
        <w:tc>
          <w:tcPr>
            <w:tcW w:w="1141"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宗地面积大，利于开发利用</w:t>
            </w:r>
          </w:p>
        </w:tc>
        <w:tc>
          <w:tcPr>
            <w:tcW w:w="1270"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宗地面积较大，较利于开发利用</w:t>
            </w:r>
          </w:p>
        </w:tc>
        <w:tc>
          <w:tcPr>
            <w:tcW w:w="1386"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宗地面积适中，开发利用情况一般</w:t>
            </w:r>
          </w:p>
        </w:tc>
        <w:tc>
          <w:tcPr>
            <w:tcW w:w="1388"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宗地面积偏小，较不利于开发利用</w:t>
            </w:r>
          </w:p>
        </w:tc>
        <w:tc>
          <w:tcPr>
            <w:tcW w:w="1442"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宗地面积过小，不利于开发利用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102" w:type="dxa"/>
            <w:vMerge w:val="continue"/>
            <w:vAlign w:val="center"/>
          </w:tcPr>
          <w:p>
            <w:pPr>
              <w:spacing w:line="240" w:lineRule="auto"/>
              <w:ind w:firstLine="0" w:firstLineChars="0"/>
              <w:jc w:val="center"/>
              <w:rPr>
                <w:rFonts w:ascii="仿宋_GB2312" w:hAnsi="仿宋_GB2312" w:eastAsia="仿宋_GB2312" w:cs="仿宋_GB2312"/>
                <w:sz w:val="24"/>
                <w:lang w:val="zh-CN" w:bidi="zh-CN"/>
              </w:rPr>
            </w:pPr>
          </w:p>
        </w:tc>
        <w:tc>
          <w:tcPr>
            <w:tcW w:w="1341"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修正系数</w:t>
            </w:r>
          </w:p>
        </w:tc>
        <w:tc>
          <w:tcPr>
            <w:tcW w:w="1141" w:type="dxa"/>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lang w:val="en-US"/>
              </w:rPr>
              <w:t>2%</w:t>
            </w:r>
          </w:p>
        </w:tc>
        <w:tc>
          <w:tcPr>
            <w:tcW w:w="1270" w:type="dxa"/>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lang w:val="en-US"/>
              </w:rPr>
              <w:t>1%</w:t>
            </w:r>
          </w:p>
        </w:tc>
        <w:tc>
          <w:tcPr>
            <w:tcW w:w="1386"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0</w:t>
            </w:r>
            <w:r>
              <w:rPr>
                <w:rFonts w:hint="eastAsia" w:ascii="仿宋_GB2312" w:hAnsi="仿宋_GB2312" w:eastAsia="仿宋_GB2312" w:cs="仿宋_GB2312"/>
                <w:sz w:val="24"/>
                <w:lang w:val="en-US"/>
              </w:rPr>
              <w:t>.00%</w:t>
            </w:r>
          </w:p>
        </w:tc>
        <w:tc>
          <w:tcPr>
            <w:tcW w:w="1388" w:type="dxa"/>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rPr>
              <w:t>-</w:t>
            </w:r>
            <w:r>
              <w:rPr>
                <w:rFonts w:hint="eastAsia" w:ascii="仿宋_GB2312" w:hAnsi="仿宋_GB2312" w:eastAsia="仿宋_GB2312" w:cs="仿宋_GB2312"/>
                <w:sz w:val="24"/>
                <w:lang w:val="en-US"/>
              </w:rPr>
              <w:t>1%</w:t>
            </w:r>
          </w:p>
        </w:tc>
        <w:tc>
          <w:tcPr>
            <w:tcW w:w="1442" w:type="dxa"/>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rPr>
              <w:t>-</w:t>
            </w:r>
            <w:r>
              <w:rPr>
                <w:rFonts w:hint="eastAsia" w:ascii="仿宋_GB2312" w:hAnsi="仿宋_GB2312" w:eastAsia="仿宋_GB2312" w:cs="仿宋_GB2312"/>
                <w:sz w:val="24"/>
                <w:lang w:val="en-US"/>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102" w:type="dxa"/>
            <w:vMerge w:val="restart"/>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宗地形状</w:t>
            </w:r>
          </w:p>
        </w:tc>
        <w:tc>
          <w:tcPr>
            <w:tcW w:w="1341"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指标说明</w:t>
            </w:r>
          </w:p>
        </w:tc>
        <w:tc>
          <w:tcPr>
            <w:tcW w:w="1141"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形状规则对土地利用极为有</w:t>
            </w:r>
          </w:p>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利</w:t>
            </w:r>
          </w:p>
        </w:tc>
        <w:tc>
          <w:tcPr>
            <w:tcW w:w="1270"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pacing w:val="-5"/>
                <w:sz w:val="24"/>
              </w:rPr>
              <w:t>形状较规则，对土地利用较</w:t>
            </w:r>
          </w:p>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为有利</w:t>
            </w:r>
          </w:p>
        </w:tc>
        <w:tc>
          <w:tcPr>
            <w:tcW w:w="1386"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形状基本规则，对土地利用无不良</w:t>
            </w:r>
          </w:p>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影响</w:t>
            </w:r>
          </w:p>
        </w:tc>
        <w:tc>
          <w:tcPr>
            <w:tcW w:w="1388"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形状较不规则，对土地利用有一定</w:t>
            </w:r>
          </w:p>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影响</w:t>
            </w:r>
          </w:p>
        </w:tc>
        <w:tc>
          <w:tcPr>
            <w:tcW w:w="1442"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形状不规则，对土地利用产生严</w:t>
            </w:r>
          </w:p>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重影响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102" w:type="dxa"/>
            <w:vMerge w:val="continue"/>
            <w:vAlign w:val="center"/>
          </w:tcPr>
          <w:p>
            <w:pPr>
              <w:spacing w:line="240" w:lineRule="auto"/>
              <w:ind w:firstLine="0" w:firstLineChars="0"/>
              <w:jc w:val="center"/>
              <w:rPr>
                <w:rFonts w:ascii="仿宋_GB2312" w:hAnsi="仿宋_GB2312" w:eastAsia="仿宋_GB2312" w:cs="仿宋_GB2312"/>
                <w:sz w:val="24"/>
              </w:rPr>
            </w:pPr>
          </w:p>
        </w:tc>
        <w:tc>
          <w:tcPr>
            <w:tcW w:w="1341"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修正系数</w:t>
            </w:r>
          </w:p>
        </w:tc>
        <w:tc>
          <w:tcPr>
            <w:tcW w:w="1141"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lang w:val="en-US"/>
              </w:rPr>
              <w:t>2%</w:t>
            </w:r>
          </w:p>
        </w:tc>
        <w:tc>
          <w:tcPr>
            <w:tcW w:w="1270"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lang w:val="en-US"/>
              </w:rPr>
              <w:t>1%</w:t>
            </w:r>
          </w:p>
        </w:tc>
        <w:tc>
          <w:tcPr>
            <w:tcW w:w="1386"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0</w:t>
            </w:r>
            <w:r>
              <w:rPr>
                <w:rFonts w:hint="eastAsia" w:ascii="仿宋_GB2312" w:hAnsi="仿宋_GB2312" w:eastAsia="仿宋_GB2312" w:cs="仿宋_GB2312"/>
                <w:sz w:val="24"/>
                <w:lang w:val="en-US"/>
              </w:rPr>
              <w:t>.00%</w:t>
            </w:r>
          </w:p>
        </w:tc>
        <w:tc>
          <w:tcPr>
            <w:tcW w:w="1388"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w:t>
            </w:r>
            <w:r>
              <w:rPr>
                <w:rFonts w:hint="eastAsia" w:ascii="仿宋_GB2312" w:hAnsi="仿宋_GB2312" w:eastAsia="仿宋_GB2312" w:cs="仿宋_GB2312"/>
                <w:sz w:val="24"/>
                <w:lang w:val="en-US"/>
              </w:rPr>
              <w:t>1%</w:t>
            </w:r>
          </w:p>
        </w:tc>
        <w:tc>
          <w:tcPr>
            <w:tcW w:w="1442"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w:t>
            </w:r>
            <w:r>
              <w:rPr>
                <w:rFonts w:hint="eastAsia" w:ascii="仿宋_GB2312" w:hAnsi="仿宋_GB2312" w:eastAsia="仿宋_GB2312" w:cs="仿宋_GB2312"/>
                <w:sz w:val="24"/>
                <w:lang w:val="en-US"/>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102" w:type="dxa"/>
            <w:vMerge w:val="restart"/>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宗地地基承载力</w:t>
            </w:r>
          </w:p>
        </w:tc>
        <w:tc>
          <w:tcPr>
            <w:tcW w:w="1341"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指标说明</w:t>
            </w:r>
          </w:p>
        </w:tc>
        <w:tc>
          <w:tcPr>
            <w:tcW w:w="1141"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宗地地基承载力好</w:t>
            </w:r>
          </w:p>
        </w:tc>
        <w:tc>
          <w:tcPr>
            <w:tcW w:w="1270"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宗地地基承载力较</w:t>
            </w:r>
          </w:p>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好</w:t>
            </w:r>
          </w:p>
        </w:tc>
        <w:tc>
          <w:tcPr>
            <w:tcW w:w="1386"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宗地地基承载力适宜</w:t>
            </w:r>
          </w:p>
        </w:tc>
        <w:tc>
          <w:tcPr>
            <w:tcW w:w="1388"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宗地地基承载力较差</w:t>
            </w:r>
          </w:p>
        </w:tc>
        <w:tc>
          <w:tcPr>
            <w:tcW w:w="1442"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宗地地基承载力差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102" w:type="dxa"/>
            <w:vMerge w:val="continue"/>
            <w:vAlign w:val="center"/>
          </w:tcPr>
          <w:p>
            <w:pPr>
              <w:spacing w:line="240" w:lineRule="auto"/>
              <w:ind w:firstLine="0" w:firstLineChars="0"/>
              <w:jc w:val="center"/>
              <w:rPr>
                <w:rFonts w:ascii="仿宋_GB2312" w:hAnsi="仿宋_GB2312" w:eastAsia="仿宋_GB2312" w:cs="仿宋_GB2312"/>
                <w:sz w:val="24"/>
              </w:rPr>
            </w:pPr>
          </w:p>
        </w:tc>
        <w:tc>
          <w:tcPr>
            <w:tcW w:w="1341"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修正系数</w:t>
            </w:r>
          </w:p>
        </w:tc>
        <w:tc>
          <w:tcPr>
            <w:tcW w:w="1141"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lang w:val="en-US"/>
              </w:rPr>
              <w:t>2%</w:t>
            </w:r>
          </w:p>
        </w:tc>
        <w:tc>
          <w:tcPr>
            <w:tcW w:w="1270"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lang w:val="en-US"/>
              </w:rPr>
              <w:t>1%</w:t>
            </w:r>
          </w:p>
        </w:tc>
        <w:tc>
          <w:tcPr>
            <w:tcW w:w="1386"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0</w:t>
            </w:r>
            <w:r>
              <w:rPr>
                <w:rFonts w:hint="eastAsia" w:ascii="仿宋_GB2312" w:hAnsi="仿宋_GB2312" w:eastAsia="仿宋_GB2312" w:cs="仿宋_GB2312"/>
                <w:sz w:val="24"/>
                <w:lang w:val="en-US"/>
              </w:rPr>
              <w:t>.00%</w:t>
            </w:r>
          </w:p>
        </w:tc>
        <w:tc>
          <w:tcPr>
            <w:tcW w:w="1388"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w:t>
            </w:r>
            <w:r>
              <w:rPr>
                <w:rFonts w:hint="eastAsia" w:ascii="仿宋_GB2312" w:hAnsi="仿宋_GB2312" w:eastAsia="仿宋_GB2312" w:cs="仿宋_GB2312"/>
                <w:sz w:val="24"/>
                <w:lang w:val="en-US"/>
              </w:rPr>
              <w:t>1%</w:t>
            </w:r>
          </w:p>
        </w:tc>
        <w:tc>
          <w:tcPr>
            <w:tcW w:w="1442"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w:t>
            </w:r>
            <w:r>
              <w:rPr>
                <w:rFonts w:hint="eastAsia" w:ascii="仿宋_GB2312" w:hAnsi="仿宋_GB2312" w:eastAsia="仿宋_GB2312" w:cs="仿宋_GB2312"/>
                <w:sz w:val="24"/>
                <w:lang w:val="en-US"/>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102" w:type="dxa"/>
            <w:vMerge w:val="restart"/>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景观条件</w:t>
            </w:r>
          </w:p>
        </w:tc>
        <w:tc>
          <w:tcPr>
            <w:tcW w:w="1341"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指标说明</w:t>
            </w:r>
          </w:p>
        </w:tc>
        <w:tc>
          <w:tcPr>
            <w:tcW w:w="1141"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pacing w:val="-5"/>
                <w:sz w:val="24"/>
              </w:rPr>
              <w:t>景观条件好，对土地利用极</w:t>
            </w:r>
          </w:p>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为有利</w:t>
            </w:r>
          </w:p>
        </w:tc>
        <w:tc>
          <w:tcPr>
            <w:tcW w:w="1270"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pacing w:val="-5"/>
                <w:sz w:val="24"/>
              </w:rPr>
              <w:t>景观条件良好，对土地利用</w:t>
            </w:r>
            <w:r>
              <w:rPr>
                <w:rFonts w:hint="eastAsia" w:ascii="仿宋_GB2312" w:hAnsi="仿宋_GB2312" w:eastAsia="仿宋_GB2312" w:cs="仿宋_GB2312"/>
                <w:spacing w:val="-1"/>
                <w:sz w:val="24"/>
              </w:rPr>
              <w:t>较为有利</w:t>
            </w:r>
          </w:p>
        </w:tc>
        <w:tc>
          <w:tcPr>
            <w:tcW w:w="1386"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景观条件一般，对土地利用无不良</w:t>
            </w:r>
          </w:p>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影响</w:t>
            </w:r>
          </w:p>
        </w:tc>
        <w:tc>
          <w:tcPr>
            <w:tcW w:w="1388"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景观条件较差，对土地利用有一定</w:t>
            </w:r>
          </w:p>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影响</w:t>
            </w:r>
          </w:p>
        </w:tc>
        <w:tc>
          <w:tcPr>
            <w:tcW w:w="1442"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景观条件差，对土地利用产生严</w:t>
            </w:r>
          </w:p>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重影响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102" w:type="dxa"/>
            <w:vMerge w:val="continue"/>
            <w:vAlign w:val="center"/>
          </w:tcPr>
          <w:p>
            <w:pPr>
              <w:spacing w:line="240" w:lineRule="auto"/>
              <w:ind w:firstLine="0" w:firstLineChars="0"/>
              <w:jc w:val="center"/>
              <w:rPr>
                <w:rFonts w:ascii="仿宋_GB2312" w:hAnsi="仿宋_GB2312" w:eastAsia="仿宋_GB2312" w:cs="仿宋_GB2312"/>
                <w:sz w:val="24"/>
              </w:rPr>
            </w:pPr>
          </w:p>
        </w:tc>
        <w:tc>
          <w:tcPr>
            <w:tcW w:w="1341"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修正系数</w:t>
            </w:r>
          </w:p>
        </w:tc>
        <w:tc>
          <w:tcPr>
            <w:tcW w:w="1141" w:type="dxa"/>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lang w:val="en-US"/>
              </w:rPr>
              <w:t>3%</w:t>
            </w:r>
          </w:p>
        </w:tc>
        <w:tc>
          <w:tcPr>
            <w:tcW w:w="1270" w:type="dxa"/>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lang w:val="en-US"/>
              </w:rPr>
              <w:t>1%</w:t>
            </w:r>
          </w:p>
        </w:tc>
        <w:tc>
          <w:tcPr>
            <w:tcW w:w="1386"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0</w:t>
            </w:r>
            <w:r>
              <w:rPr>
                <w:rFonts w:hint="eastAsia" w:ascii="仿宋_GB2312" w:hAnsi="仿宋_GB2312" w:eastAsia="仿宋_GB2312" w:cs="仿宋_GB2312"/>
                <w:sz w:val="24"/>
                <w:lang w:val="en-US"/>
              </w:rPr>
              <w:t>.00%</w:t>
            </w:r>
          </w:p>
        </w:tc>
        <w:tc>
          <w:tcPr>
            <w:tcW w:w="1388"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w:t>
            </w:r>
            <w:r>
              <w:rPr>
                <w:rFonts w:hint="eastAsia" w:ascii="仿宋_GB2312" w:hAnsi="仿宋_GB2312" w:eastAsia="仿宋_GB2312" w:cs="仿宋_GB2312"/>
                <w:sz w:val="24"/>
                <w:lang w:val="en-US"/>
              </w:rPr>
              <w:t>1%</w:t>
            </w:r>
          </w:p>
        </w:tc>
        <w:tc>
          <w:tcPr>
            <w:tcW w:w="1442" w:type="dxa"/>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w:t>
            </w:r>
            <w:r>
              <w:rPr>
                <w:rFonts w:hint="eastAsia" w:ascii="仿宋_GB2312" w:hAnsi="仿宋_GB2312" w:eastAsia="仿宋_GB2312" w:cs="仿宋_GB2312"/>
                <w:sz w:val="24"/>
                <w:lang w:val="en-US"/>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102" w:type="dxa"/>
            <w:vMerge w:val="restart"/>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地形</w:t>
            </w:r>
          </w:p>
        </w:tc>
        <w:tc>
          <w:tcPr>
            <w:tcW w:w="1341" w:type="dxa"/>
            <w:vAlign w:val="center"/>
          </w:tcPr>
          <w:p>
            <w:pPr>
              <w:snapToGrid w:val="0"/>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napToGrid w:val="0"/>
                <w:kern w:val="0"/>
                <w:sz w:val="24"/>
              </w:rPr>
              <w:t>指标说明</w:t>
            </w:r>
          </w:p>
        </w:tc>
        <w:tc>
          <w:tcPr>
            <w:tcW w:w="1141" w:type="dxa"/>
            <w:vAlign w:val="center"/>
          </w:tcPr>
          <w:p>
            <w:pPr>
              <w:autoSpaceDE/>
              <w:autoSpaceDN/>
              <w:snapToGrid w:val="0"/>
              <w:spacing w:line="240" w:lineRule="auto"/>
              <w:ind w:firstLine="0" w:firstLineChars="0"/>
              <w:jc w:val="center"/>
              <w:rPr>
                <w:rFonts w:ascii="仿宋_GB2312" w:hAnsi="仿宋_GB2312" w:eastAsia="仿宋_GB2312" w:cs="仿宋_GB2312"/>
                <w:sz w:val="24"/>
                <w:lang w:bidi="zh-CN"/>
              </w:rPr>
            </w:pPr>
            <w:r>
              <w:rPr>
                <w:rFonts w:hint="eastAsia" w:ascii="仿宋_GB2312" w:hAnsi="仿宋_GB2312" w:eastAsia="仿宋_GB2312" w:cs="仿宋_GB2312"/>
                <w:sz w:val="24"/>
                <w:lang w:val="zh-CN" w:bidi="zh-CN"/>
              </w:rPr>
              <w:t>地形平坦，可直接开发利用</w:t>
            </w:r>
          </w:p>
        </w:tc>
        <w:tc>
          <w:tcPr>
            <w:tcW w:w="1270" w:type="dxa"/>
            <w:vAlign w:val="center"/>
          </w:tcPr>
          <w:p>
            <w:pPr>
              <w:autoSpaceDE/>
              <w:autoSpaceDN/>
              <w:snapToGrid w:val="0"/>
              <w:spacing w:line="240" w:lineRule="auto"/>
              <w:ind w:firstLine="0" w:firstLineChars="0"/>
              <w:jc w:val="center"/>
              <w:rPr>
                <w:rFonts w:ascii="仿宋_GB2312" w:hAnsi="仿宋_GB2312" w:eastAsia="仿宋_GB2312" w:cs="仿宋_GB2312"/>
                <w:sz w:val="24"/>
                <w:lang w:bidi="zh-CN"/>
              </w:rPr>
            </w:pPr>
            <w:r>
              <w:rPr>
                <w:rFonts w:hint="eastAsia" w:ascii="仿宋_GB2312" w:hAnsi="仿宋_GB2312" w:eastAsia="仿宋_GB2312" w:cs="仿宋_GB2312"/>
                <w:sz w:val="24"/>
                <w:lang w:val="zh-CN" w:bidi="zh-CN"/>
              </w:rPr>
              <w:t>地形较平坦</w:t>
            </w:r>
          </w:p>
        </w:tc>
        <w:tc>
          <w:tcPr>
            <w:tcW w:w="1386" w:type="dxa"/>
            <w:vAlign w:val="center"/>
          </w:tcPr>
          <w:p>
            <w:pPr>
              <w:autoSpaceDE/>
              <w:autoSpaceDN/>
              <w:snapToGrid w:val="0"/>
              <w:spacing w:line="240" w:lineRule="auto"/>
              <w:ind w:firstLine="0" w:firstLineChars="0"/>
              <w:jc w:val="center"/>
              <w:rPr>
                <w:rFonts w:ascii="仿宋_GB2312" w:hAnsi="仿宋_GB2312" w:eastAsia="仿宋_GB2312" w:cs="仿宋_GB2312"/>
                <w:sz w:val="24"/>
                <w:lang w:bidi="zh-CN"/>
              </w:rPr>
            </w:pPr>
            <w:r>
              <w:rPr>
                <w:rFonts w:hint="eastAsia" w:ascii="仿宋_GB2312" w:hAnsi="仿宋_GB2312" w:eastAsia="仿宋_GB2312" w:cs="仿宋_GB2312"/>
                <w:sz w:val="24"/>
                <w:lang w:val="zh-CN" w:bidi="zh-CN"/>
              </w:rPr>
              <w:t>地形对土地利用无不良影响</w:t>
            </w:r>
          </w:p>
        </w:tc>
        <w:tc>
          <w:tcPr>
            <w:tcW w:w="1388" w:type="dxa"/>
            <w:vAlign w:val="center"/>
          </w:tcPr>
          <w:p>
            <w:pPr>
              <w:autoSpaceDE/>
              <w:autoSpaceDN/>
              <w:snapToGrid w:val="0"/>
              <w:spacing w:line="240" w:lineRule="auto"/>
              <w:ind w:firstLine="0" w:firstLineChars="0"/>
              <w:jc w:val="center"/>
              <w:rPr>
                <w:rFonts w:ascii="仿宋_GB2312" w:hAnsi="仿宋_GB2312" w:eastAsia="仿宋_GB2312" w:cs="仿宋_GB2312"/>
                <w:sz w:val="24"/>
                <w:lang w:bidi="zh-CN"/>
              </w:rPr>
            </w:pPr>
            <w:r>
              <w:rPr>
                <w:rFonts w:hint="eastAsia" w:ascii="仿宋_GB2312" w:hAnsi="仿宋_GB2312" w:eastAsia="仿宋_GB2312" w:cs="仿宋_GB2312"/>
                <w:sz w:val="24"/>
                <w:lang w:val="zh-CN" w:bidi="zh-CN"/>
              </w:rPr>
              <w:t>有一定地形坡度和起伏，对土地利用有一定影响</w:t>
            </w:r>
          </w:p>
        </w:tc>
        <w:tc>
          <w:tcPr>
            <w:tcW w:w="1442" w:type="dxa"/>
            <w:vAlign w:val="center"/>
          </w:tcPr>
          <w:p>
            <w:pPr>
              <w:autoSpaceDE/>
              <w:autoSpaceDN/>
              <w:snapToGrid w:val="0"/>
              <w:spacing w:line="240" w:lineRule="auto"/>
              <w:ind w:firstLine="0" w:firstLineChars="0"/>
              <w:jc w:val="center"/>
              <w:rPr>
                <w:rFonts w:ascii="仿宋_GB2312" w:hAnsi="仿宋_GB2312" w:eastAsia="仿宋_GB2312" w:cs="仿宋_GB2312"/>
                <w:sz w:val="24"/>
                <w:lang w:bidi="zh-CN"/>
              </w:rPr>
            </w:pPr>
            <w:r>
              <w:rPr>
                <w:rFonts w:hint="eastAsia" w:ascii="仿宋_GB2312" w:hAnsi="仿宋_GB2312" w:eastAsia="仿宋_GB2312" w:cs="仿宋_GB2312"/>
                <w:sz w:val="24"/>
                <w:lang w:val="zh-CN" w:bidi="zh-CN"/>
              </w:rPr>
              <w:t>地形起伏、坡度较大，对土地利用产生严重影响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102" w:type="dxa"/>
            <w:vMerge w:val="continue"/>
            <w:vAlign w:val="center"/>
          </w:tcPr>
          <w:p>
            <w:pPr>
              <w:spacing w:line="240" w:lineRule="auto"/>
              <w:ind w:firstLine="0" w:firstLineChars="0"/>
              <w:jc w:val="center"/>
              <w:rPr>
                <w:rFonts w:ascii="仿宋_GB2312" w:hAnsi="仿宋_GB2312" w:eastAsia="仿宋_GB2312" w:cs="仿宋_GB2312"/>
                <w:sz w:val="24"/>
              </w:rPr>
            </w:pPr>
          </w:p>
        </w:tc>
        <w:tc>
          <w:tcPr>
            <w:tcW w:w="1341" w:type="dxa"/>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修正系数</w:t>
            </w:r>
          </w:p>
        </w:tc>
        <w:tc>
          <w:tcPr>
            <w:tcW w:w="1141" w:type="dxa"/>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lang w:val="en-US"/>
              </w:rPr>
              <w:t>2%</w:t>
            </w:r>
          </w:p>
        </w:tc>
        <w:tc>
          <w:tcPr>
            <w:tcW w:w="1270" w:type="dxa"/>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lang w:val="en-US"/>
              </w:rPr>
              <w:t>1%</w:t>
            </w:r>
          </w:p>
        </w:tc>
        <w:tc>
          <w:tcPr>
            <w:tcW w:w="1386" w:type="dxa"/>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lang w:val="en-US"/>
              </w:rPr>
              <w:t>0.00%</w:t>
            </w:r>
          </w:p>
        </w:tc>
        <w:tc>
          <w:tcPr>
            <w:tcW w:w="1388" w:type="dxa"/>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lang w:val="en-US"/>
              </w:rPr>
              <w:t>-1%</w:t>
            </w:r>
          </w:p>
        </w:tc>
        <w:tc>
          <w:tcPr>
            <w:tcW w:w="1442" w:type="dxa"/>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lang w:val="en-US"/>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102" w:type="dxa"/>
            <w:vMerge w:val="restart"/>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地势</w:t>
            </w:r>
          </w:p>
        </w:tc>
        <w:tc>
          <w:tcPr>
            <w:tcW w:w="1341" w:type="dxa"/>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指标说明</w:t>
            </w:r>
          </w:p>
        </w:tc>
        <w:tc>
          <w:tcPr>
            <w:tcW w:w="1141" w:type="dxa"/>
            <w:vAlign w:val="center"/>
          </w:tcPr>
          <w:p>
            <w:pPr>
              <w:autoSpaceDE/>
              <w:autoSpaceDN/>
              <w:snapToGrid w:val="0"/>
              <w:spacing w:line="240" w:lineRule="auto"/>
              <w:ind w:firstLine="0" w:firstLineChars="0"/>
              <w:jc w:val="center"/>
              <w:rPr>
                <w:rFonts w:ascii="仿宋_GB2312" w:hAnsi="仿宋_GB2312" w:eastAsia="仿宋_GB2312" w:cs="仿宋_GB2312"/>
                <w:sz w:val="24"/>
                <w:lang w:bidi="zh-CN"/>
              </w:rPr>
            </w:pPr>
            <w:r>
              <w:rPr>
                <w:rFonts w:hint="eastAsia" w:ascii="仿宋_GB2312" w:hAnsi="仿宋_GB2312" w:eastAsia="仿宋_GB2312" w:cs="仿宋_GB2312"/>
                <w:sz w:val="24"/>
                <w:lang w:val="zh-CN" w:bidi="zh-CN"/>
              </w:rPr>
              <w:t>地势较高，排水通风条件好，出入口设置仍然便利</w:t>
            </w:r>
          </w:p>
        </w:tc>
        <w:tc>
          <w:tcPr>
            <w:tcW w:w="1270" w:type="dxa"/>
            <w:vAlign w:val="center"/>
          </w:tcPr>
          <w:p>
            <w:pPr>
              <w:autoSpaceDE/>
              <w:autoSpaceDN/>
              <w:snapToGrid w:val="0"/>
              <w:spacing w:line="240" w:lineRule="auto"/>
              <w:ind w:firstLine="0" w:firstLineChars="0"/>
              <w:jc w:val="center"/>
              <w:rPr>
                <w:rFonts w:ascii="仿宋_GB2312" w:hAnsi="仿宋_GB2312" w:eastAsia="仿宋_GB2312" w:cs="仿宋_GB2312"/>
                <w:sz w:val="24"/>
                <w:lang w:bidi="zh-CN"/>
              </w:rPr>
            </w:pPr>
            <w:r>
              <w:rPr>
                <w:rFonts w:hint="eastAsia" w:ascii="仿宋_GB2312" w:hAnsi="仿宋_GB2312" w:eastAsia="仿宋_GB2312" w:cs="仿宋_GB2312"/>
                <w:sz w:val="24"/>
                <w:lang w:val="zh-CN" w:bidi="zh-CN"/>
              </w:rPr>
              <w:t>地势一般，通风排水条件一般，不影响出入口设置</w:t>
            </w:r>
          </w:p>
        </w:tc>
        <w:tc>
          <w:tcPr>
            <w:tcW w:w="1386" w:type="dxa"/>
            <w:vAlign w:val="center"/>
          </w:tcPr>
          <w:p>
            <w:pPr>
              <w:autoSpaceDE/>
              <w:autoSpaceDN/>
              <w:snapToGrid w:val="0"/>
              <w:spacing w:line="240" w:lineRule="auto"/>
              <w:ind w:firstLine="0" w:firstLineChars="0"/>
              <w:jc w:val="center"/>
              <w:rPr>
                <w:rFonts w:ascii="仿宋_GB2312" w:hAnsi="仿宋_GB2312" w:eastAsia="仿宋_GB2312" w:cs="仿宋_GB2312"/>
                <w:sz w:val="24"/>
                <w:lang w:bidi="zh-CN"/>
              </w:rPr>
            </w:pPr>
            <w:r>
              <w:rPr>
                <w:rFonts w:hint="eastAsia" w:ascii="仿宋_GB2312" w:hAnsi="仿宋_GB2312" w:eastAsia="仿宋_GB2312" w:cs="仿宋_GB2312"/>
                <w:sz w:val="24"/>
                <w:lang w:val="zh-CN" w:bidi="zh-CN"/>
              </w:rPr>
              <w:t>地势一般，排水通风条件一般</w:t>
            </w:r>
          </w:p>
        </w:tc>
        <w:tc>
          <w:tcPr>
            <w:tcW w:w="1388" w:type="dxa"/>
            <w:vAlign w:val="center"/>
          </w:tcPr>
          <w:p>
            <w:pPr>
              <w:autoSpaceDE/>
              <w:autoSpaceDN/>
              <w:snapToGrid w:val="0"/>
              <w:spacing w:line="240" w:lineRule="auto"/>
              <w:ind w:firstLine="0" w:firstLineChars="0"/>
              <w:jc w:val="center"/>
              <w:rPr>
                <w:rFonts w:ascii="仿宋_GB2312" w:hAnsi="仿宋_GB2312" w:eastAsia="仿宋_GB2312" w:cs="仿宋_GB2312"/>
                <w:sz w:val="24"/>
                <w:lang w:bidi="zh-CN"/>
              </w:rPr>
            </w:pPr>
            <w:r>
              <w:rPr>
                <w:rFonts w:hint="eastAsia" w:ascii="仿宋_GB2312" w:hAnsi="仿宋_GB2312" w:eastAsia="仿宋_GB2312" w:cs="仿宋_GB2312"/>
                <w:sz w:val="24"/>
                <w:lang w:val="zh-CN" w:bidi="zh-CN"/>
              </w:rPr>
              <w:t>地势偏高，对出入通道设置有一定影响</w:t>
            </w:r>
          </w:p>
        </w:tc>
        <w:tc>
          <w:tcPr>
            <w:tcW w:w="1442" w:type="dxa"/>
            <w:vAlign w:val="center"/>
          </w:tcPr>
          <w:p>
            <w:pPr>
              <w:autoSpaceDE/>
              <w:autoSpaceDN/>
              <w:snapToGrid w:val="0"/>
              <w:spacing w:line="240" w:lineRule="auto"/>
              <w:ind w:firstLine="0" w:firstLineChars="0"/>
              <w:jc w:val="center"/>
              <w:rPr>
                <w:rFonts w:ascii="仿宋_GB2312" w:hAnsi="仿宋_GB2312" w:eastAsia="仿宋_GB2312" w:cs="仿宋_GB2312"/>
                <w:sz w:val="24"/>
                <w:lang w:bidi="zh-CN"/>
              </w:rPr>
            </w:pPr>
            <w:r>
              <w:rPr>
                <w:rFonts w:hint="eastAsia" w:ascii="仿宋_GB2312" w:hAnsi="仿宋_GB2312" w:eastAsia="仿宋_GB2312" w:cs="仿宋_GB2312"/>
                <w:sz w:val="24"/>
                <w:lang w:val="zh-CN" w:bidi="zh-CN"/>
              </w:rPr>
              <w:t>地势偏低，不利于通风排水和出入口设置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102" w:type="dxa"/>
            <w:vMerge w:val="continue"/>
            <w:vAlign w:val="center"/>
          </w:tcPr>
          <w:p>
            <w:pPr>
              <w:spacing w:line="240" w:lineRule="auto"/>
              <w:ind w:firstLine="0" w:firstLineChars="0"/>
              <w:jc w:val="center"/>
              <w:rPr>
                <w:rFonts w:ascii="仿宋_GB2312" w:hAnsi="仿宋_GB2312" w:eastAsia="仿宋_GB2312" w:cs="仿宋_GB2312"/>
                <w:sz w:val="24"/>
              </w:rPr>
            </w:pPr>
          </w:p>
        </w:tc>
        <w:tc>
          <w:tcPr>
            <w:tcW w:w="1341" w:type="dxa"/>
            <w:vAlign w:val="center"/>
          </w:tcPr>
          <w:p>
            <w:pPr>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修正系数</w:t>
            </w:r>
          </w:p>
        </w:tc>
        <w:tc>
          <w:tcPr>
            <w:tcW w:w="1141" w:type="dxa"/>
            <w:vAlign w:val="center"/>
          </w:tcPr>
          <w:p>
            <w:pPr>
              <w:pStyle w:val="113"/>
              <w:spacing w:line="240" w:lineRule="auto"/>
              <w:ind w:firstLine="0" w:firstLineChars="0"/>
              <w:rPr>
                <w:rFonts w:ascii="仿宋_GB2312" w:hAnsi="仿宋_GB2312" w:eastAsia="仿宋_GB2312" w:cs="仿宋_GB2312"/>
                <w:snapToGrid w:val="0"/>
                <w:kern w:val="0"/>
                <w:sz w:val="24"/>
                <w:lang w:val="en-US" w:bidi="ar-SA"/>
              </w:rPr>
            </w:pPr>
            <w:r>
              <w:rPr>
                <w:rFonts w:hint="eastAsia" w:ascii="仿宋_GB2312" w:hAnsi="仿宋_GB2312" w:eastAsia="仿宋_GB2312" w:cs="仿宋_GB2312"/>
                <w:sz w:val="24"/>
                <w:lang w:val="en-US"/>
              </w:rPr>
              <w:t>2%</w:t>
            </w:r>
          </w:p>
        </w:tc>
        <w:tc>
          <w:tcPr>
            <w:tcW w:w="1270" w:type="dxa"/>
            <w:vAlign w:val="center"/>
          </w:tcPr>
          <w:p>
            <w:pPr>
              <w:pStyle w:val="113"/>
              <w:spacing w:line="240" w:lineRule="auto"/>
              <w:ind w:firstLine="0" w:firstLineChars="0"/>
              <w:rPr>
                <w:rFonts w:ascii="仿宋_GB2312" w:hAnsi="仿宋_GB2312" w:eastAsia="仿宋_GB2312" w:cs="仿宋_GB2312"/>
                <w:snapToGrid w:val="0"/>
                <w:kern w:val="0"/>
                <w:sz w:val="24"/>
                <w:lang w:val="en-US" w:bidi="ar-SA"/>
              </w:rPr>
            </w:pPr>
            <w:r>
              <w:rPr>
                <w:rFonts w:hint="eastAsia" w:ascii="仿宋_GB2312" w:hAnsi="仿宋_GB2312" w:eastAsia="仿宋_GB2312" w:cs="仿宋_GB2312"/>
                <w:sz w:val="24"/>
                <w:lang w:val="en-US"/>
              </w:rPr>
              <w:t>1%</w:t>
            </w:r>
          </w:p>
        </w:tc>
        <w:tc>
          <w:tcPr>
            <w:tcW w:w="1386" w:type="dxa"/>
            <w:vAlign w:val="center"/>
          </w:tcPr>
          <w:p>
            <w:pPr>
              <w:pStyle w:val="113"/>
              <w:spacing w:line="240" w:lineRule="auto"/>
              <w:ind w:firstLine="0" w:firstLineChars="0"/>
              <w:rPr>
                <w:rFonts w:ascii="仿宋_GB2312" w:hAnsi="仿宋_GB2312" w:eastAsia="仿宋_GB2312" w:cs="仿宋_GB2312"/>
                <w:snapToGrid w:val="0"/>
                <w:kern w:val="0"/>
                <w:sz w:val="24"/>
                <w:lang w:val="en-US" w:bidi="ar-SA"/>
              </w:rPr>
            </w:pPr>
            <w:r>
              <w:rPr>
                <w:rFonts w:hint="eastAsia" w:ascii="仿宋_GB2312" w:hAnsi="仿宋_GB2312" w:eastAsia="仿宋_GB2312" w:cs="仿宋_GB2312"/>
                <w:sz w:val="24"/>
                <w:lang w:val="en-US"/>
              </w:rPr>
              <w:t>0.00%</w:t>
            </w:r>
          </w:p>
        </w:tc>
        <w:tc>
          <w:tcPr>
            <w:tcW w:w="1388" w:type="dxa"/>
            <w:vAlign w:val="center"/>
          </w:tcPr>
          <w:p>
            <w:pPr>
              <w:pStyle w:val="113"/>
              <w:spacing w:line="240" w:lineRule="auto"/>
              <w:ind w:firstLine="0" w:firstLineChars="0"/>
              <w:rPr>
                <w:rFonts w:ascii="仿宋_GB2312" w:hAnsi="仿宋_GB2312" w:eastAsia="仿宋_GB2312" w:cs="仿宋_GB2312"/>
                <w:snapToGrid w:val="0"/>
                <w:kern w:val="0"/>
                <w:sz w:val="24"/>
                <w:lang w:val="en-US" w:bidi="ar-SA"/>
              </w:rPr>
            </w:pPr>
            <w:r>
              <w:rPr>
                <w:rFonts w:hint="eastAsia" w:ascii="仿宋_GB2312" w:hAnsi="仿宋_GB2312" w:eastAsia="仿宋_GB2312" w:cs="仿宋_GB2312"/>
                <w:sz w:val="24"/>
                <w:lang w:val="en-US"/>
              </w:rPr>
              <w:t>-1%</w:t>
            </w:r>
          </w:p>
        </w:tc>
        <w:tc>
          <w:tcPr>
            <w:tcW w:w="1442" w:type="dxa"/>
            <w:vAlign w:val="center"/>
          </w:tcPr>
          <w:p>
            <w:pPr>
              <w:pStyle w:val="113"/>
              <w:spacing w:line="240" w:lineRule="auto"/>
              <w:ind w:firstLine="0" w:firstLineChars="0"/>
              <w:rPr>
                <w:rFonts w:ascii="仿宋_GB2312" w:hAnsi="仿宋_GB2312" w:eastAsia="仿宋_GB2312" w:cs="仿宋_GB2312"/>
                <w:snapToGrid w:val="0"/>
                <w:kern w:val="0"/>
                <w:sz w:val="24"/>
                <w:lang w:val="en-US" w:bidi="ar-SA"/>
              </w:rPr>
            </w:pPr>
            <w:r>
              <w:rPr>
                <w:rFonts w:hint="eastAsia" w:ascii="仿宋_GB2312" w:hAnsi="仿宋_GB2312" w:eastAsia="仿宋_GB2312" w:cs="仿宋_GB2312"/>
                <w:sz w:val="24"/>
                <w:lang w:val="en-US"/>
              </w:rPr>
              <w:t>-2%</w:t>
            </w:r>
          </w:p>
        </w:tc>
      </w:tr>
    </w:tbl>
    <w:p>
      <w:pPr>
        <w:numPr>
          <w:ilvl w:val="0"/>
          <w:numId w:val="3"/>
        </w:numPr>
        <w:tabs>
          <w:tab w:val="left" w:pos="0"/>
        </w:tabs>
        <w:spacing w:before="72" w:after="72"/>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土地剩余使用年期修正</w:t>
      </w:r>
      <w:bookmarkEnd w:id="73"/>
      <w:bookmarkEnd w:id="74"/>
      <w:bookmarkEnd w:id="75"/>
      <w:bookmarkEnd w:id="76"/>
      <w:bookmarkEnd w:id="77"/>
    </w:p>
    <w:p>
      <w:pPr>
        <w:spacing w:line="600" w:lineRule="exact"/>
        <w:ind w:firstLine="640"/>
        <w:rPr>
          <w:rFonts w:ascii="仿宋_GB2312" w:hAnsi="仿宋_GB2312" w:eastAsia="仿宋_GB2312" w:cs="仿宋_GB2312"/>
          <w:sz w:val="32"/>
          <w:szCs w:val="32"/>
        </w:rPr>
      </w:pPr>
      <w:bookmarkStart w:id="78" w:name="_Toc435192442"/>
      <w:bookmarkStart w:id="79" w:name="_Toc435108587"/>
      <w:bookmarkStart w:id="80" w:name="_Toc435109088"/>
      <w:bookmarkStart w:id="81" w:name="_Toc435179424"/>
      <w:bookmarkStart w:id="82" w:name="_Toc435438840"/>
      <w:r>
        <w:rPr>
          <w:rFonts w:hint="eastAsia" w:ascii="仿宋_GB2312" w:hAnsi="仿宋_GB2312" w:eastAsia="仿宋_GB2312" w:cs="仿宋_GB2312"/>
          <w:sz w:val="32"/>
          <w:szCs w:val="32"/>
        </w:rPr>
        <w:t>土地剩余使用年期修正公式为：</w:t>
      </w:r>
    </w:p>
    <w:p>
      <w:pPr>
        <w:spacing w:line="240" w:lineRule="auto"/>
        <w:ind w:firstLine="0" w:firstLineChars="0"/>
        <w:jc w:val="center"/>
        <w:rPr>
          <w:rFonts w:cs="仿宋"/>
          <w:position w:val="-36"/>
        </w:rPr>
      </w:pPr>
      <w:r>
        <w:rPr>
          <w:rFonts w:hint="eastAsia" w:cs="仿宋"/>
          <w:position w:val="-36"/>
        </w:rPr>
        <w:object>
          <v:shape id="_x0000_i1030" o:spt="75" type="#_x0000_t75" style="height:41.9pt;width:165.5pt;" o:ole="t" filled="f" o:preferrelative="t" stroked="f" coordsize="21600,21600">
            <v:path/>
            <v:fill on="f" focussize="0,0"/>
            <v:stroke on="f" joinstyle="miter"/>
            <v:imagedata r:id="rId25" o:title=""/>
            <o:lock v:ext="edit" aspectratio="t"/>
            <w10:wrap type="none"/>
            <w10:anchorlock/>
          </v:shape>
          <o:OLEObject Type="Embed" ProgID="Equation.3" ShapeID="_x0000_i1030" DrawAspect="Content" ObjectID="_1468075730" r:id="rId24">
            <o:LockedField>false</o:LockedField>
          </o:OLEObject>
        </w:object>
      </w:r>
    </w:p>
    <w:p>
      <w:pPr>
        <w:rPr>
          <w:rFonts w:ascii="仿宋_GB2312" w:hAnsi="仿宋_GB2312" w:eastAsia="仿宋_GB2312" w:cs="仿宋_GB2312"/>
          <w:sz w:val="24"/>
        </w:rPr>
      </w:pPr>
      <w:r>
        <w:rPr>
          <w:rFonts w:hint="eastAsia" w:ascii="仿宋_GB2312" w:hAnsi="仿宋_GB2312" w:eastAsia="仿宋_GB2312" w:cs="仿宋_GB2312"/>
          <w:sz w:val="24"/>
        </w:rPr>
        <w:t>式中：</w:t>
      </w:r>
      <w:r>
        <w:rPr>
          <w:rFonts w:hint="eastAsia" w:ascii="仿宋_GB2312" w:hAnsi="仿宋_GB2312" w:eastAsia="仿宋_GB2312" w:cs="仿宋_GB2312"/>
          <w:position w:val="-4"/>
          <w:sz w:val="24"/>
        </w:rPr>
        <w:object>
          <v:shape id="_x0000_i1031" o:spt="75" type="#_x0000_t75" style="height:9.65pt;width:8.6pt;" o:ole="t" filled="f" o:preferrelative="t" stroked="f" coordsize="21600,21600">
            <v:path/>
            <v:fill on="f" focussize="0,0"/>
            <v:stroke on="f" joinstyle="miter"/>
            <v:imagedata r:id="rId27" o:title=""/>
            <o:lock v:ext="edit" aspectratio="t"/>
            <w10:wrap type="none"/>
            <w10:anchorlock/>
          </v:shape>
          <o:OLEObject Type="Embed" ProgID="Equation.3" ShapeID="_x0000_i1031" DrawAspect="Content" ObjectID="_1468075731" r:id="rId26">
            <o:LockedField>false</o:LockedField>
          </o:OLEObject>
        </w:object>
      </w:r>
      <w:r>
        <w:rPr>
          <w:rFonts w:hint="eastAsia" w:ascii="仿宋_GB2312" w:hAnsi="仿宋_GB2312" w:eastAsia="仿宋_GB2312" w:cs="仿宋_GB2312"/>
          <w:sz w:val="24"/>
        </w:rPr>
        <w:t>——土地还原率；</w:t>
      </w:r>
      <w:r>
        <w:rPr>
          <w:rFonts w:hint="eastAsia" w:ascii="仿宋_GB2312" w:hAnsi="仿宋_GB2312" w:eastAsia="仿宋_GB2312" w:cs="仿宋_GB2312"/>
          <w:position w:val="-6"/>
          <w:sz w:val="24"/>
        </w:rPr>
        <w:object>
          <v:shape id="_x0000_i1032" o:spt="75" type="#_x0000_t75" style="height:10.75pt;width:12.9pt;" o:ole="t" filled="f" o:preferrelative="t" stroked="f" coordsize="21600,21600">
            <v:path/>
            <v:fill on="f" focussize="0,0"/>
            <v:stroke on="f" joinstyle="miter"/>
            <v:imagedata r:id="rId29" o:title=""/>
            <o:lock v:ext="edit" aspectratio="t"/>
            <w10:wrap type="none"/>
            <w10:anchorlock/>
          </v:shape>
          <o:OLEObject Type="Embed" ProgID="Equation.3" ShapeID="_x0000_i1032" DrawAspect="Content" ObjectID="_1468075732" r:id="rId28">
            <o:LockedField>false</o:LockedField>
          </o:OLEObject>
        </w:object>
      </w:r>
      <w:r>
        <w:rPr>
          <w:rFonts w:hint="eastAsia" w:ascii="仿宋_GB2312" w:hAnsi="仿宋_GB2312" w:eastAsia="仿宋_GB2312" w:cs="仿宋_GB2312"/>
          <w:sz w:val="24"/>
        </w:rPr>
        <w:t>——土地使用权法定最高出让年限70年；</w:t>
      </w:r>
    </w:p>
    <w:p>
      <w:pPr>
        <w:ind w:firstLine="1200" w:firstLineChars="500"/>
        <w:rPr>
          <w:rFonts w:ascii="仿宋_GB2312" w:hAnsi="仿宋_GB2312" w:eastAsia="仿宋_GB2312" w:cs="仿宋_GB2312"/>
          <w:sz w:val="24"/>
        </w:rPr>
      </w:pPr>
      <w:r>
        <w:rPr>
          <w:rFonts w:hint="eastAsia" w:ascii="仿宋_GB2312" w:hAnsi="仿宋_GB2312" w:eastAsia="仿宋_GB2312" w:cs="仿宋_GB2312"/>
          <w:position w:val="-6"/>
          <w:sz w:val="24"/>
        </w:rPr>
        <w:object>
          <v:shape id="_x0000_i1033" o:spt="75" type="#_x0000_t75" style="height:10.75pt;width:9.65pt;" o:ole="t" filled="f" o:preferrelative="t" stroked="f" coordsize="21600,21600">
            <v:path/>
            <v:fill on="f" focussize="0,0"/>
            <v:stroke on="f" joinstyle="miter"/>
            <v:imagedata r:id="rId31" o:title=""/>
            <o:lock v:ext="edit" aspectratio="t"/>
            <w10:wrap type="none"/>
            <w10:anchorlock/>
          </v:shape>
          <o:OLEObject Type="Embed" ProgID="Equation.3" ShapeID="_x0000_i1033" DrawAspect="Content" ObjectID="_1468075733" r:id="rId30">
            <o:LockedField>false</o:LockedField>
          </o:OLEObject>
        </w:object>
      </w:r>
      <w:r>
        <w:rPr>
          <w:rFonts w:hint="eastAsia" w:ascii="仿宋_GB2312" w:hAnsi="仿宋_GB2312" w:eastAsia="仿宋_GB2312" w:cs="仿宋_GB2312"/>
          <w:sz w:val="24"/>
        </w:rPr>
        <w:t>——土地剩余使用年期；</w:t>
      </w:r>
      <w:r>
        <w:rPr>
          <w:rFonts w:hint="eastAsia" w:ascii="仿宋_GB2312" w:hAnsi="仿宋_GB2312" w:eastAsia="仿宋_GB2312" w:cs="仿宋_GB2312"/>
          <w:position w:val="-4"/>
          <w:sz w:val="24"/>
        </w:rPr>
        <w:object>
          <v:shape id="_x0000_i1034" o:spt="75" type="#_x0000_t75" style="height:12.9pt;width:10.75pt;" o:ole="t" filled="f" o:preferrelative="t" stroked="f" coordsize="21600,21600">
            <v:path/>
            <v:fill on="f" focussize="0,0"/>
            <v:stroke on="f" joinstyle="miter"/>
            <v:imagedata r:id="rId33" o:title=""/>
            <o:lock v:ext="edit" aspectratio="t"/>
            <w10:wrap type="none"/>
            <w10:anchorlock/>
          </v:shape>
          <o:OLEObject Type="Embed" ProgID="Equation.3" ShapeID="_x0000_i1034" DrawAspect="Content" ObjectID="_1468075734" r:id="rId32">
            <o:LockedField>false</o:LockedField>
          </o:OLEObject>
        </w:object>
      </w:r>
      <w:r>
        <w:rPr>
          <w:rFonts w:hint="eastAsia" w:ascii="仿宋_GB2312" w:hAnsi="仿宋_GB2312" w:eastAsia="仿宋_GB2312" w:cs="仿宋_GB2312"/>
          <w:sz w:val="24"/>
        </w:rPr>
        <w:t>——土地剩余使用年期修正系数</w:t>
      </w:r>
    </w:p>
    <w:p>
      <w:pPr>
        <w:pStyle w:val="2"/>
        <w:ind w:firstLine="480"/>
        <w:rPr>
          <w:rFonts w:ascii="仿宋_GB2312" w:hAnsi="仿宋_GB2312" w:eastAsia="仿宋_GB2312" w:cs="仿宋_GB2312"/>
          <w:sz w:val="24"/>
        </w:rPr>
      </w:pPr>
    </w:p>
    <w:p>
      <w:pPr>
        <w:pStyle w:val="2"/>
        <w:ind w:firstLine="480"/>
        <w:rPr>
          <w:rFonts w:ascii="仿宋_GB2312" w:hAnsi="仿宋_GB2312" w:eastAsia="仿宋_GB2312" w:cs="仿宋_GB2312"/>
          <w:sz w:val="24"/>
        </w:rPr>
      </w:pPr>
    </w:p>
    <w:p>
      <w:pPr>
        <w:pStyle w:val="2"/>
        <w:ind w:firstLine="480"/>
        <w:rPr>
          <w:rFonts w:ascii="仿宋_GB2312" w:hAnsi="仿宋_GB2312" w:eastAsia="仿宋_GB2312" w:cs="仿宋_GB2312"/>
          <w:sz w:val="24"/>
        </w:rPr>
      </w:pP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城区住宅用地使用年期修正系数表（住宅用地土地还原率为5.6%）</w:t>
      </w:r>
    </w:p>
    <w:tbl>
      <w:tblPr>
        <w:tblStyle w:val="114"/>
        <w:tblW w:w="9070" w:type="dxa"/>
        <w:jc w:val="center"/>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93"/>
        <w:gridCol w:w="1108"/>
        <w:gridCol w:w="1108"/>
        <w:gridCol w:w="1108"/>
        <w:gridCol w:w="1110"/>
        <w:gridCol w:w="1110"/>
        <w:gridCol w:w="1111"/>
        <w:gridCol w:w="112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84" w:hRule="atLeast"/>
          <w:jc w:val="center"/>
        </w:trPr>
        <w:tc>
          <w:tcPr>
            <w:tcW w:w="1293" w:type="dxa"/>
            <w:tcBorders>
              <w:top w:val="single" w:color="auto" w:sz="4" w:space="0"/>
            </w:tcBorders>
          </w:tcPr>
          <w:p>
            <w:pPr>
              <w:widowControl/>
              <w:autoSpaceDE/>
              <w:autoSpaceDN/>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kern w:val="0"/>
                <w:sz w:val="24"/>
              </w:rPr>
              <w:t>剩余年期</w:t>
            </w:r>
          </w:p>
        </w:tc>
        <w:tc>
          <w:tcPr>
            <w:tcW w:w="1108" w:type="dxa"/>
            <w:tcBorders>
              <w:top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w:t>
            </w:r>
          </w:p>
        </w:tc>
        <w:tc>
          <w:tcPr>
            <w:tcW w:w="1108" w:type="dxa"/>
            <w:tcBorders>
              <w:top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w:t>
            </w:r>
          </w:p>
        </w:tc>
        <w:tc>
          <w:tcPr>
            <w:tcW w:w="1108" w:type="dxa"/>
            <w:tcBorders>
              <w:top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w:t>
            </w:r>
          </w:p>
        </w:tc>
        <w:tc>
          <w:tcPr>
            <w:tcW w:w="1110" w:type="dxa"/>
            <w:tcBorders>
              <w:top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w:t>
            </w:r>
          </w:p>
        </w:tc>
        <w:tc>
          <w:tcPr>
            <w:tcW w:w="1110" w:type="dxa"/>
            <w:tcBorders>
              <w:top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5</w:t>
            </w:r>
          </w:p>
        </w:tc>
        <w:tc>
          <w:tcPr>
            <w:tcW w:w="1111" w:type="dxa"/>
            <w:tcBorders>
              <w:top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6</w:t>
            </w:r>
          </w:p>
        </w:tc>
        <w:tc>
          <w:tcPr>
            <w:tcW w:w="1122" w:type="dxa"/>
            <w:tcBorders>
              <w:top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80" w:hRule="atLeast"/>
          <w:jc w:val="center"/>
        </w:trPr>
        <w:tc>
          <w:tcPr>
            <w:tcW w:w="1293" w:type="dxa"/>
          </w:tcPr>
          <w:p>
            <w:pPr>
              <w:widowControl/>
              <w:autoSpaceDE/>
              <w:autoSpaceDN/>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0.0542</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0.1056</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0.1542</w:t>
            </w:r>
          </w:p>
        </w:tc>
        <w:tc>
          <w:tcPr>
            <w:tcW w:w="1110"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0.2003</w:t>
            </w:r>
          </w:p>
        </w:tc>
        <w:tc>
          <w:tcPr>
            <w:tcW w:w="1110"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0.2439</w:t>
            </w:r>
          </w:p>
        </w:tc>
        <w:tc>
          <w:tcPr>
            <w:tcW w:w="1111"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0.2852</w:t>
            </w:r>
          </w:p>
        </w:tc>
        <w:tc>
          <w:tcPr>
            <w:tcW w:w="1122"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0.3243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79" w:hRule="atLeast"/>
          <w:jc w:val="center"/>
        </w:trPr>
        <w:tc>
          <w:tcPr>
            <w:tcW w:w="1293" w:type="dxa"/>
          </w:tcPr>
          <w:p>
            <w:pPr>
              <w:widowControl/>
              <w:autoSpaceDE/>
              <w:autoSpaceDN/>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kern w:val="0"/>
                <w:sz w:val="24"/>
              </w:rPr>
              <w:t>剩余年期</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8</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9</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10</w:t>
            </w:r>
          </w:p>
        </w:tc>
        <w:tc>
          <w:tcPr>
            <w:tcW w:w="1110"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11</w:t>
            </w:r>
          </w:p>
        </w:tc>
        <w:tc>
          <w:tcPr>
            <w:tcW w:w="1110"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12</w:t>
            </w:r>
          </w:p>
        </w:tc>
        <w:tc>
          <w:tcPr>
            <w:tcW w:w="1111"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13</w:t>
            </w:r>
          </w:p>
        </w:tc>
        <w:tc>
          <w:tcPr>
            <w:tcW w:w="1122"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80" w:hRule="atLeast"/>
          <w:jc w:val="center"/>
        </w:trPr>
        <w:tc>
          <w:tcPr>
            <w:tcW w:w="1293" w:type="dxa"/>
          </w:tcPr>
          <w:p>
            <w:pPr>
              <w:widowControl/>
              <w:autoSpaceDE/>
              <w:autoSpaceDN/>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0.3613</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0.3964</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0.4296</w:t>
            </w:r>
          </w:p>
        </w:tc>
        <w:tc>
          <w:tcPr>
            <w:tcW w:w="1110"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0.461</w:t>
            </w:r>
          </w:p>
        </w:tc>
        <w:tc>
          <w:tcPr>
            <w:tcW w:w="1110"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0.4908</w:t>
            </w:r>
          </w:p>
        </w:tc>
        <w:tc>
          <w:tcPr>
            <w:tcW w:w="1111"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0.519</w:t>
            </w:r>
          </w:p>
        </w:tc>
        <w:tc>
          <w:tcPr>
            <w:tcW w:w="1122"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0.5457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79" w:hRule="atLeast"/>
          <w:jc w:val="center"/>
        </w:trPr>
        <w:tc>
          <w:tcPr>
            <w:tcW w:w="1293" w:type="dxa"/>
          </w:tcPr>
          <w:p>
            <w:pPr>
              <w:widowControl/>
              <w:autoSpaceDE/>
              <w:autoSpaceDN/>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kern w:val="0"/>
                <w:sz w:val="24"/>
              </w:rPr>
              <w:t>剩余年期</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15</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16</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17</w:t>
            </w:r>
          </w:p>
        </w:tc>
        <w:tc>
          <w:tcPr>
            <w:tcW w:w="1110"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18</w:t>
            </w:r>
          </w:p>
        </w:tc>
        <w:tc>
          <w:tcPr>
            <w:tcW w:w="1110"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19</w:t>
            </w:r>
          </w:p>
        </w:tc>
        <w:tc>
          <w:tcPr>
            <w:tcW w:w="1111"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20</w:t>
            </w:r>
          </w:p>
        </w:tc>
        <w:tc>
          <w:tcPr>
            <w:tcW w:w="1122"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80" w:hRule="atLeast"/>
          <w:jc w:val="center"/>
        </w:trPr>
        <w:tc>
          <w:tcPr>
            <w:tcW w:w="1293" w:type="dxa"/>
          </w:tcPr>
          <w:p>
            <w:pPr>
              <w:widowControl/>
              <w:autoSpaceDE/>
              <w:autoSpaceDN/>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0.571</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0.5949</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0.6176</w:t>
            </w:r>
          </w:p>
        </w:tc>
        <w:tc>
          <w:tcPr>
            <w:tcW w:w="1110"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0.6391</w:t>
            </w:r>
          </w:p>
        </w:tc>
        <w:tc>
          <w:tcPr>
            <w:tcW w:w="1110"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0.6594</w:t>
            </w:r>
          </w:p>
        </w:tc>
        <w:tc>
          <w:tcPr>
            <w:tcW w:w="1111"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0.6787</w:t>
            </w:r>
          </w:p>
        </w:tc>
        <w:tc>
          <w:tcPr>
            <w:tcW w:w="1122"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0.6969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79" w:hRule="atLeast"/>
          <w:jc w:val="center"/>
        </w:trPr>
        <w:tc>
          <w:tcPr>
            <w:tcW w:w="1293" w:type="dxa"/>
          </w:tcPr>
          <w:p>
            <w:pPr>
              <w:widowControl/>
              <w:autoSpaceDE/>
              <w:autoSpaceDN/>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kern w:val="0"/>
                <w:sz w:val="24"/>
              </w:rPr>
              <w:t>剩余年期</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22</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23</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24</w:t>
            </w:r>
          </w:p>
        </w:tc>
        <w:tc>
          <w:tcPr>
            <w:tcW w:w="1110"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25</w:t>
            </w:r>
          </w:p>
        </w:tc>
        <w:tc>
          <w:tcPr>
            <w:tcW w:w="1110"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26</w:t>
            </w:r>
          </w:p>
        </w:tc>
        <w:tc>
          <w:tcPr>
            <w:tcW w:w="1111"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27</w:t>
            </w:r>
          </w:p>
        </w:tc>
        <w:tc>
          <w:tcPr>
            <w:tcW w:w="1122"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80" w:hRule="atLeast"/>
          <w:jc w:val="center"/>
        </w:trPr>
        <w:tc>
          <w:tcPr>
            <w:tcW w:w="1293" w:type="dxa"/>
          </w:tcPr>
          <w:p>
            <w:pPr>
              <w:widowControl/>
              <w:autoSpaceDE/>
              <w:autoSpaceDN/>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0.7142</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0.7305</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0.746</w:t>
            </w:r>
          </w:p>
        </w:tc>
        <w:tc>
          <w:tcPr>
            <w:tcW w:w="1110"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0.7607</w:t>
            </w:r>
          </w:p>
        </w:tc>
        <w:tc>
          <w:tcPr>
            <w:tcW w:w="1110"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0.7746</w:t>
            </w:r>
          </w:p>
        </w:tc>
        <w:tc>
          <w:tcPr>
            <w:tcW w:w="1111"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0.7877</w:t>
            </w:r>
          </w:p>
        </w:tc>
        <w:tc>
          <w:tcPr>
            <w:tcW w:w="1122"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0.8002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80" w:hRule="atLeast"/>
          <w:jc w:val="center"/>
        </w:trPr>
        <w:tc>
          <w:tcPr>
            <w:tcW w:w="1293" w:type="dxa"/>
          </w:tcPr>
          <w:p>
            <w:pPr>
              <w:widowControl/>
              <w:autoSpaceDE/>
              <w:autoSpaceDN/>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kern w:val="0"/>
                <w:sz w:val="24"/>
              </w:rPr>
              <w:t>剩余年期</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29</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30</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31</w:t>
            </w:r>
          </w:p>
        </w:tc>
        <w:tc>
          <w:tcPr>
            <w:tcW w:w="1110"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32</w:t>
            </w:r>
          </w:p>
        </w:tc>
        <w:tc>
          <w:tcPr>
            <w:tcW w:w="1110"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33</w:t>
            </w:r>
          </w:p>
        </w:tc>
        <w:tc>
          <w:tcPr>
            <w:tcW w:w="1111"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34</w:t>
            </w:r>
          </w:p>
        </w:tc>
        <w:tc>
          <w:tcPr>
            <w:tcW w:w="1122"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79" w:hRule="atLeast"/>
          <w:jc w:val="center"/>
        </w:trPr>
        <w:tc>
          <w:tcPr>
            <w:tcW w:w="1293" w:type="dxa"/>
          </w:tcPr>
          <w:p>
            <w:pPr>
              <w:widowControl/>
              <w:autoSpaceDE/>
              <w:autoSpaceDN/>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0.812</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0.8231</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0.8337</w:t>
            </w:r>
          </w:p>
        </w:tc>
        <w:tc>
          <w:tcPr>
            <w:tcW w:w="1110"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0.8437</w:t>
            </w:r>
          </w:p>
        </w:tc>
        <w:tc>
          <w:tcPr>
            <w:tcW w:w="1110"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0.8532</w:t>
            </w:r>
          </w:p>
        </w:tc>
        <w:tc>
          <w:tcPr>
            <w:tcW w:w="1111"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0.8622</w:t>
            </w:r>
          </w:p>
        </w:tc>
        <w:tc>
          <w:tcPr>
            <w:tcW w:w="1122"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0.8707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80" w:hRule="atLeast"/>
          <w:jc w:val="center"/>
        </w:trPr>
        <w:tc>
          <w:tcPr>
            <w:tcW w:w="1293" w:type="dxa"/>
          </w:tcPr>
          <w:p>
            <w:pPr>
              <w:widowControl/>
              <w:autoSpaceDE/>
              <w:autoSpaceDN/>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kern w:val="0"/>
                <w:sz w:val="24"/>
              </w:rPr>
              <w:t>剩余年期</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36</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37</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38</w:t>
            </w:r>
          </w:p>
        </w:tc>
        <w:tc>
          <w:tcPr>
            <w:tcW w:w="1110"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39</w:t>
            </w:r>
          </w:p>
        </w:tc>
        <w:tc>
          <w:tcPr>
            <w:tcW w:w="1110"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40</w:t>
            </w:r>
          </w:p>
        </w:tc>
        <w:tc>
          <w:tcPr>
            <w:tcW w:w="1111"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41</w:t>
            </w:r>
          </w:p>
        </w:tc>
        <w:tc>
          <w:tcPr>
            <w:tcW w:w="1122"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80" w:hRule="atLeast"/>
          <w:jc w:val="center"/>
        </w:trPr>
        <w:tc>
          <w:tcPr>
            <w:tcW w:w="1293" w:type="dxa"/>
          </w:tcPr>
          <w:p>
            <w:pPr>
              <w:widowControl/>
              <w:autoSpaceDE/>
              <w:autoSpaceDN/>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0.8787</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0.8864</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0.8936</w:t>
            </w:r>
          </w:p>
        </w:tc>
        <w:tc>
          <w:tcPr>
            <w:tcW w:w="1110"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0.9004</w:t>
            </w:r>
          </w:p>
        </w:tc>
        <w:tc>
          <w:tcPr>
            <w:tcW w:w="1110"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0.9069</w:t>
            </w:r>
          </w:p>
        </w:tc>
        <w:tc>
          <w:tcPr>
            <w:tcW w:w="1111"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0.913</w:t>
            </w:r>
          </w:p>
        </w:tc>
        <w:tc>
          <w:tcPr>
            <w:tcW w:w="1122"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0.9188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80" w:hRule="atLeast"/>
          <w:jc w:val="center"/>
        </w:trPr>
        <w:tc>
          <w:tcPr>
            <w:tcW w:w="1293" w:type="dxa"/>
          </w:tcPr>
          <w:p>
            <w:pPr>
              <w:widowControl/>
              <w:autoSpaceDE/>
              <w:autoSpaceDN/>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kern w:val="0"/>
                <w:sz w:val="24"/>
              </w:rPr>
              <w:t>剩余年期</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43</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44</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45</w:t>
            </w:r>
          </w:p>
        </w:tc>
        <w:tc>
          <w:tcPr>
            <w:tcW w:w="1110"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46</w:t>
            </w:r>
          </w:p>
        </w:tc>
        <w:tc>
          <w:tcPr>
            <w:tcW w:w="1110"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47</w:t>
            </w:r>
          </w:p>
        </w:tc>
        <w:tc>
          <w:tcPr>
            <w:tcW w:w="1111"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48</w:t>
            </w:r>
          </w:p>
        </w:tc>
        <w:tc>
          <w:tcPr>
            <w:tcW w:w="1122"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80" w:hRule="atLeast"/>
          <w:jc w:val="center"/>
        </w:trPr>
        <w:tc>
          <w:tcPr>
            <w:tcW w:w="1293" w:type="dxa"/>
          </w:tcPr>
          <w:p>
            <w:pPr>
              <w:widowControl/>
              <w:autoSpaceDE/>
              <w:autoSpaceDN/>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0.9243</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0.9296</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0.9345</w:t>
            </w:r>
          </w:p>
        </w:tc>
        <w:tc>
          <w:tcPr>
            <w:tcW w:w="1110"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0.9392</w:t>
            </w:r>
          </w:p>
        </w:tc>
        <w:tc>
          <w:tcPr>
            <w:tcW w:w="1110"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0.9436</w:t>
            </w:r>
          </w:p>
        </w:tc>
        <w:tc>
          <w:tcPr>
            <w:tcW w:w="1111"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0.9478</w:t>
            </w:r>
          </w:p>
        </w:tc>
        <w:tc>
          <w:tcPr>
            <w:tcW w:w="1122"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0.9517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80" w:hRule="atLeast"/>
          <w:jc w:val="center"/>
        </w:trPr>
        <w:tc>
          <w:tcPr>
            <w:tcW w:w="1293" w:type="dxa"/>
          </w:tcPr>
          <w:p>
            <w:pPr>
              <w:widowControl/>
              <w:autoSpaceDE/>
              <w:autoSpaceDN/>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kern w:val="0"/>
                <w:sz w:val="24"/>
              </w:rPr>
              <w:t>剩余年期</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50</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51</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52</w:t>
            </w:r>
          </w:p>
        </w:tc>
        <w:tc>
          <w:tcPr>
            <w:tcW w:w="1110"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53</w:t>
            </w:r>
          </w:p>
        </w:tc>
        <w:tc>
          <w:tcPr>
            <w:tcW w:w="1110"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54</w:t>
            </w:r>
          </w:p>
        </w:tc>
        <w:tc>
          <w:tcPr>
            <w:tcW w:w="1111"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55</w:t>
            </w:r>
          </w:p>
        </w:tc>
        <w:tc>
          <w:tcPr>
            <w:tcW w:w="1122"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56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80" w:hRule="atLeast"/>
          <w:jc w:val="center"/>
        </w:trPr>
        <w:tc>
          <w:tcPr>
            <w:tcW w:w="1293" w:type="dxa"/>
          </w:tcPr>
          <w:p>
            <w:pPr>
              <w:widowControl/>
              <w:autoSpaceDE/>
              <w:autoSpaceDN/>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0.9555</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0.959</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0.9624</w:t>
            </w:r>
          </w:p>
        </w:tc>
        <w:tc>
          <w:tcPr>
            <w:tcW w:w="1110"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0.9656</w:t>
            </w:r>
          </w:p>
        </w:tc>
        <w:tc>
          <w:tcPr>
            <w:tcW w:w="1110"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0.9686</w:t>
            </w:r>
          </w:p>
        </w:tc>
        <w:tc>
          <w:tcPr>
            <w:tcW w:w="1111"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0.9715</w:t>
            </w:r>
          </w:p>
        </w:tc>
        <w:tc>
          <w:tcPr>
            <w:tcW w:w="1122"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0.9742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80" w:hRule="atLeast"/>
          <w:jc w:val="center"/>
        </w:trPr>
        <w:tc>
          <w:tcPr>
            <w:tcW w:w="1293" w:type="dxa"/>
          </w:tcPr>
          <w:p>
            <w:pPr>
              <w:widowControl/>
              <w:autoSpaceDE/>
              <w:autoSpaceDN/>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kern w:val="0"/>
                <w:sz w:val="24"/>
              </w:rPr>
              <w:t>剩余年期</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57</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58</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59</w:t>
            </w:r>
          </w:p>
        </w:tc>
        <w:tc>
          <w:tcPr>
            <w:tcW w:w="1110"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60</w:t>
            </w:r>
          </w:p>
        </w:tc>
        <w:tc>
          <w:tcPr>
            <w:tcW w:w="1110"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61</w:t>
            </w:r>
          </w:p>
        </w:tc>
        <w:tc>
          <w:tcPr>
            <w:tcW w:w="1111"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62</w:t>
            </w:r>
          </w:p>
        </w:tc>
        <w:tc>
          <w:tcPr>
            <w:tcW w:w="1122"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63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80" w:hRule="atLeast"/>
          <w:jc w:val="center"/>
        </w:trPr>
        <w:tc>
          <w:tcPr>
            <w:tcW w:w="1293" w:type="dxa"/>
          </w:tcPr>
          <w:p>
            <w:pPr>
              <w:widowControl/>
              <w:autoSpaceDE/>
              <w:autoSpaceDN/>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0.9768</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0.9792</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0.9815</w:t>
            </w:r>
          </w:p>
        </w:tc>
        <w:tc>
          <w:tcPr>
            <w:tcW w:w="1110"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0.9837</w:t>
            </w:r>
          </w:p>
        </w:tc>
        <w:tc>
          <w:tcPr>
            <w:tcW w:w="1110"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0.9857</w:t>
            </w:r>
          </w:p>
        </w:tc>
        <w:tc>
          <w:tcPr>
            <w:tcW w:w="1111"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0.9877</w:t>
            </w:r>
          </w:p>
        </w:tc>
        <w:tc>
          <w:tcPr>
            <w:tcW w:w="1122"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0.9895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80" w:hRule="atLeast"/>
          <w:jc w:val="center"/>
        </w:trPr>
        <w:tc>
          <w:tcPr>
            <w:tcW w:w="1293" w:type="dxa"/>
          </w:tcPr>
          <w:p>
            <w:pPr>
              <w:widowControl/>
              <w:autoSpaceDE/>
              <w:autoSpaceDN/>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kern w:val="0"/>
                <w:sz w:val="24"/>
              </w:rPr>
              <w:t>剩余年期</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64</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65</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66</w:t>
            </w:r>
          </w:p>
        </w:tc>
        <w:tc>
          <w:tcPr>
            <w:tcW w:w="1110"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67</w:t>
            </w:r>
          </w:p>
        </w:tc>
        <w:tc>
          <w:tcPr>
            <w:tcW w:w="1110"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68</w:t>
            </w:r>
          </w:p>
        </w:tc>
        <w:tc>
          <w:tcPr>
            <w:tcW w:w="1111"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69</w:t>
            </w:r>
          </w:p>
        </w:tc>
        <w:tc>
          <w:tcPr>
            <w:tcW w:w="1122"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70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84" w:hRule="atLeast"/>
          <w:jc w:val="center"/>
        </w:trPr>
        <w:tc>
          <w:tcPr>
            <w:tcW w:w="1293" w:type="dxa"/>
          </w:tcPr>
          <w:p>
            <w:pPr>
              <w:widowControl/>
              <w:autoSpaceDE/>
              <w:autoSpaceDN/>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0.9913</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0.9929</w:t>
            </w:r>
          </w:p>
        </w:tc>
        <w:tc>
          <w:tcPr>
            <w:tcW w:w="11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0.9945</w:t>
            </w:r>
          </w:p>
        </w:tc>
        <w:tc>
          <w:tcPr>
            <w:tcW w:w="1110"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0.996</w:t>
            </w:r>
          </w:p>
        </w:tc>
        <w:tc>
          <w:tcPr>
            <w:tcW w:w="1110"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0.9974</w:t>
            </w:r>
          </w:p>
        </w:tc>
        <w:tc>
          <w:tcPr>
            <w:tcW w:w="1111"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0.9987</w:t>
            </w:r>
          </w:p>
        </w:tc>
        <w:tc>
          <w:tcPr>
            <w:tcW w:w="1122"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w:t>
            </w:r>
          </w:p>
        </w:tc>
      </w:tr>
    </w:tbl>
    <w:p>
      <w:pPr>
        <w:numPr>
          <w:ilvl w:val="0"/>
          <w:numId w:val="3"/>
        </w:numPr>
        <w:tabs>
          <w:tab w:val="left" w:pos="0"/>
        </w:tabs>
        <w:spacing w:before="72" w:after="72"/>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其它因素修正</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对于地价成果期日后因城市规划（如：土地利用限制、周边规划用途等）、路网结构（如：道路拓宽、新增道路等）、景观条件（如：临江景观、自然灾害等）等区域因素发生巨大改变或是出现其它个别因素中未提及的个别因素条件并对土地价格产生重大影响，在不违反《城镇土地估价规程》、《城镇土地分等定级》等相关法律法规前提下，可根据宗地地价实际情况确定具体修正幅度，但修正幅度不宜超过±10%。</w:t>
      </w:r>
    </w:p>
    <w:p>
      <w:pPr>
        <w:numPr>
          <w:ilvl w:val="0"/>
          <w:numId w:val="3"/>
        </w:numPr>
        <w:tabs>
          <w:tab w:val="left" w:pos="0"/>
        </w:tabs>
        <w:spacing w:before="72" w:after="72"/>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土地开发程度修正</w:t>
      </w:r>
      <w:bookmarkEnd w:id="78"/>
      <w:bookmarkEnd w:id="79"/>
      <w:bookmarkEnd w:id="80"/>
      <w:bookmarkEnd w:id="81"/>
      <w:bookmarkEnd w:id="82"/>
      <w:r>
        <w:rPr>
          <w:rFonts w:hint="eastAsia" w:ascii="仿宋_GB2312" w:hAnsi="仿宋_GB2312" w:eastAsia="仿宋_GB2312" w:cs="仿宋_GB2312"/>
          <w:sz w:val="32"/>
          <w:szCs w:val="32"/>
        </w:rPr>
        <w:t>（同商服用地，详见上文）</w:t>
      </w:r>
    </w:p>
    <w:p>
      <w:pPr>
        <w:adjustRightInd w:val="0"/>
        <w:spacing w:line="580" w:lineRule="exact"/>
        <w:ind w:firstLine="640"/>
        <w:rPr>
          <w:rFonts w:ascii="楷体_GB2312" w:hAnsi="楷体_GB2312" w:eastAsia="楷体_GB2312" w:cs="楷体_GB2312"/>
          <w:snapToGrid w:val="0"/>
          <w:color w:val="000000"/>
          <w:kern w:val="0"/>
          <w:sz w:val="32"/>
          <w:szCs w:val="32"/>
        </w:rPr>
      </w:pPr>
      <w:bookmarkStart w:id="83" w:name="_Toc19893"/>
      <w:r>
        <w:rPr>
          <w:rFonts w:hint="eastAsia" w:ascii="楷体_GB2312" w:hAnsi="楷体_GB2312" w:eastAsia="楷体_GB2312" w:cs="楷体_GB2312"/>
          <w:snapToGrid w:val="0"/>
          <w:color w:val="000000"/>
          <w:kern w:val="0"/>
          <w:sz w:val="32"/>
          <w:szCs w:val="32"/>
        </w:rPr>
        <w:t>（三）城区工业用地宗地地价修正体系</w:t>
      </w:r>
      <w:bookmarkEnd w:id="61"/>
      <w:bookmarkEnd w:id="83"/>
    </w:p>
    <w:bookmarkEnd w:id="62"/>
    <w:p>
      <w:pPr>
        <w:numPr>
          <w:ilvl w:val="0"/>
          <w:numId w:val="4"/>
        </w:numPr>
        <w:tabs>
          <w:tab w:val="left" w:pos="0"/>
        </w:tabs>
        <w:spacing w:before="72" w:after="72"/>
        <w:ind w:firstLineChars="0"/>
        <w:rPr>
          <w:rFonts w:ascii="仿宋_GB2312" w:hAnsi="仿宋_GB2312" w:eastAsia="仿宋_GB2312" w:cs="仿宋_GB2312"/>
          <w:sz w:val="32"/>
          <w:szCs w:val="32"/>
        </w:rPr>
      </w:pPr>
      <w:bookmarkStart w:id="84" w:name="_Toc435109094"/>
      <w:bookmarkStart w:id="85" w:name="_Toc435108592"/>
      <w:r>
        <w:rPr>
          <w:rFonts w:hint="eastAsia" w:ascii="仿宋_GB2312" w:hAnsi="仿宋_GB2312" w:eastAsia="仿宋_GB2312" w:cs="仿宋_GB2312"/>
          <w:sz w:val="32"/>
          <w:szCs w:val="32"/>
        </w:rPr>
        <w:t>区域因素修正</w:t>
      </w: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工业用地区域因素修正系数表（一级）</w:t>
      </w:r>
    </w:p>
    <w:tbl>
      <w:tblPr>
        <w:tblStyle w:val="47"/>
        <w:tblW w:w="9279" w:type="dxa"/>
        <w:jc w:val="center"/>
        <w:tblInd w:w="0" w:type="dxa"/>
        <w:tblLayout w:type="fixed"/>
        <w:tblCellMar>
          <w:top w:w="0" w:type="dxa"/>
          <w:left w:w="108" w:type="dxa"/>
          <w:bottom w:w="0" w:type="dxa"/>
          <w:right w:w="108" w:type="dxa"/>
        </w:tblCellMar>
      </w:tblPr>
      <w:tblGrid>
        <w:gridCol w:w="1662"/>
        <w:gridCol w:w="1521"/>
        <w:gridCol w:w="1521"/>
        <w:gridCol w:w="1524"/>
        <w:gridCol w:w="1524"/>
        <w:gridCol w:w="1527"/>
      </w:tblGrid>
      <w:tr>
        <w:tblPrEx>
          <w:tblLayout w:type="fixed"/>
          <w:tblCellMar>
            <w:top w:w="0" w:type="dxa"/>
            <w:left w:w="108" w:type="dxa"/>
            <w:bottom w:w="0" w:type="dxa"/>
            <w:right w:w="108" w:type="dxa"/>
          </w:tblCellMar>
        </w:tblPrEx>
        <w:trPr>
          <w:trHeight w:val="285" w:hRule="atLeast"/>
          <w:tblHeader/>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因素/优劣度</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优</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较优</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较劣</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劣</w:t>
            </w:r>
          </w:p>
        </w:tc>
      </w:tr>
      <w:tr>
        <w:tblPrEx>
          <w:tblLayout w:type="fixed"/>
          <w:tblCellMar>
            <w:top w:w="0" w:type="dxa"/>
            <w:left w:w="108" w:type="dxa"/>
            <w:bottom w:w="0" w:type="dxa"/>
            <w:right w:w="108" w:type="dxa"/>
          </w:tblCellMar>
        </w:tblPrEx>
        <w:trPr>
          <w:trHeight w:val="108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交通条件</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道路通达度高，距汽车站、货运站、高速公路出入口近，对外交通便利</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道路通达度较高，距汽车站、货运站、高速公路出入口较近，对外交通较便利</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道路通达度一般，距汽车站、货运站、高速公路出入口一般，对外交通一般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道路通达度较低，距汽车站、货运站、高速公路出入口较远，对外交通较差</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道路通达度低，距汽车站、货运站、高速公路出入口远，对外交通差</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5.9341%</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2.9671%</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-2.8022%</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-5.6045%</w:t>
            </w:r>
          </w:p>
        </w:tc>
      </w:tr>
      <w:tr>
        <w:tblPrEx>
          <w:tblLayout w:type="fixed"/>
          <w:tblCellMar>
            <w:top w:w="0" w:type="dxa"/>
            <w:left w:w="108" w:type="dxa"/>
            <w:bottom w:w="0" w:type="dxa"/>
            <w:right w:w="108" w:type="dxa"/>
          </w:tblCellMar>
        </w:tblPrEx>
        <w:trPr>
          <w:trHeight w:val="108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基本设施状况</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市政供水，供电保证率高，排水状况好</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市政供水，供电保证率较高，排水状况较好</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市政供水，供电保证率一般，排水状况一般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市政供水，供电保证率较低，排水状况较差</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市政供水，供电保证率低，排水状况差</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6.2609%</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3.1304%</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-2.9565%</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-5.9130%</w:t>
            </w:r>
          </w:p>
        </w:tc>
      </w:tr>
      <w:tr>
        <w:tblPrEx>
          <w:tblLayout w:type="fixed"/>
          <w:tblCellMar>
            <w:top w:w="0" w:type="dxa"/>
            <w:left w:w="108" w:type="dxa"/>
            <w:bottom w:w="0" w:type="dxa"/>
            <w:right w:w="108" w:type="dxa"/>
          </w:tblCellMar>
        </w:tblPrEx>
        <w:trPr>
          <w:trHeight w:val="347"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环境条件</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绿化、空气质量、水质量等情况好，无噪音影响</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绿化、空气质量、水质量等情况良好，噪音影响轻微</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绿化、空气质量、水质量等情况一般，噪音影响一般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绿化、空气质量、水质量等情况较差，噪音影响较严重</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绿化、空气质量、水质量等情况差，噪音影响严重</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2.8878%</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1.4439%</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-1.3637%</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-2.7274%</w:t>
            </w:r>
          </w:p>
        </w:tc>
      </w:tr>
      <w:tr>
        <w:tblPrEx>
          <w:tblLayout w:type="fixed"/>
          <w:tblCellMar>
            <w:top w:w="0" w:type="dxa"/>
            <w:left w:w="108" w:type="dxa"/>
            <w:bottom w:w="0" w:type="dxa"/>
            <w:right w:w="108" w:type="dxa"/>
          </w:tblCellMar>
        </w:tblPrEx>
        <w:trPr>
          <w:trHeight w:val="54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产业集聚效益</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产业集聚度高</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产业集聚度较高</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产业集聚度一般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产业集聚度较低</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产业集聚度低</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2.8330%</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1.4165%</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-1.3378%</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-2.6757%</w:t>
            </w:r>
          </w:p>
        </w:tc>
      </w:tr>
      <w:tr>
        <w:tblPrEx>
          <w:tblLayout w:type="fixed"/>
          <w:tblCellMar>
            <w:top w:w="0" w:type="dxa"/>
            <w:left w:w="108" w:type="dxa"/>
            <w:bottom w:w="0" w:type="dxa"/>
            <w:right w:w="108" w:type="dxa"/>
          </w:tblCellMar>
        </w:tblPrEx>
        <w:trPr>
          <w:trHeight w:val="27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用地潜力</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规划前景好</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规划前景较好</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规划前景较差</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规划前景差</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1.6493%</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0.8247%</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-0.7789%</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-1.5577%</w:t>
            </w:r>
          </w:p>
        </w:tc>
      </w:tr>
    </w:tbl>
    <w:p>
      <w:pPr>
        <w:spacing w:line="60" w:lineRule="exact"/>
        <w:ind w:firstLine="560"/>
      </w:pP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工业用地区域因素修正系数表（二级）</w:t>
      </w:r>
    </w:p>
    <w:tbl>
      <w:tblPr>
        <w:tblStyle w:val="47"/>
        <w:tblW w:w="9279" w:type="dxa"/>
        <w:jc w:val="center"/>
        <w:tblInd w:w="0" w:type="dxa"/>
        <w:tblLayout w:type="fixed"/>
        <w:tblCellMar>
          <w:top w:w="0" w:type="dxa"/>
          <w:left w:w="108" w:type="dxa"/>
          <w:bottom w:w="0" w:type="dxa"/>
          <w:right w:w="108" w:type="dxa"/>
        </w:tblCellMar>
      </w:tblPr>
      <w:tblGrid>
        <w:gridCol w:w="1662"/>
        <w:gridCol w:w="1521"/>
        <w:gridCol w:w="1521"/>
        <w:gridCol w:w="1524"/>
        <w:gridCol w:w="1524"/>
        <w:gridCol w:w="1527"/>
      </w:tblGrid>
      <w:tr>
        <w:tblPrEx>
          <w:tblLayout w:type="fixed"/>
          <w:tblCellMar>
            <w:top w:w="0" w:type="dxa"/>
            <w:left w:w="108" w:type="dxa"/>
            <w:bottom w:w="0" w:type="dxa"/>
            <w:right w:w="108" w:type="dxa"/>
          </w:tblCellMar>
        </w:tblPrEx>
        <w:trPr>
          <w:trHeight w:val="285" w:hRule="atLeast"/>
          <w:tblHeader/>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因素/优劣度</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优</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较优</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较劣</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劣</w:t>
            </w:r>
          </w:p>
        </w:tc>
      </w:tr>
      <w:tr>
        <w:tblPrEx>
          <w:tblLayout w:type="fixed"/>
          <w:tblCellMar>
            <w:top w:w="0" w:type="dxa"/>
            <w:left w:w="108" w:type="dxa"/>
            <w:bottom w:w="0" w:type="dxa"/>
            <w:right w:w="108" w:type="dxa"/>
          </w:tblCellMar>
        </w:tblPrEx>
        <w:trPr>
          <w:trHeight w:val="9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交通条件</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道路通达度高，距汽车站、货运站、高速公路出入口近，对外交通便利</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道路通达度较高，距汽车站、货运站、高速公路出入口较近，对外交通较便利</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道路通达度一般，距汽车站、货运站、高速公路出入口一般，对外交通一般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道路通达度较低，距汽车站、货运站、高速公路出入口较远，对外交通较差</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道路通达度低，距汽车站、货运站、高速公路出入口远，对外交通差</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5.4763%</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2.7381%</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-2.7908%</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-5.5816%</w:t>
            </w:r>
          </w:p>
        </w:tc>
      </w:tr>
      <w:tr>
        <w:tblPrEx>
          <w:tblLayout w:type="fixed"/>
          <w:tblCellMar>
            <w:top w:w="0" w:type="dxa"/>
            <w:left w:w="108" w:type="dxa"/>
            <w:bottom w:w="0" w:type="dxa"/>
            <w:right w:w="108" w:type="dxa"/>
          </w:tblCellMar>
        </w:tblPrEx>
        <w:trPr>
          <w:trHeight w:val="387"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基本设施状况</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市政供水，供电保证率高，排水状况好</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市政供水，供电保证率较高，排水状况较好</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市政供水，供电保证率一般，排水状况一般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市政供水，供电保证率较低，排水状况较差</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市政供水，供电保证率低，排水状况差</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5.7778%</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2.8889%</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-2.9444%</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-5.8889%</w:t>
            </w:r>
          </w:p>
        </w:tc>
      </w:tr>
      <w:tr>
        <w:tblPrEx>
          <w:tblLayout w:type="fixed"/>
          <w:tblCellMar>
            <w:top w:w="0" w:type="dxa"/>
            <w:left w:w="108" w:type="dxa"/>
            <w:bottom w:w="0" w:type="dxa"/>
            <w:right w:w="108" w:type="dxa"/>
          </w:tblCellMar>
        </w:tblPrEx>
        <w:trPr>
          <w:trHeight w:val="108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环境条件</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绿化、空气质量、水质量等情况好，无噪音影响</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绿化、空气质量、水质量等情况良好，噪音影响轻微</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绿化、空气质量、水质量等情况一般，噪音影响一般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绿化、空气质量、水质量等情况较差，噪音影响较严重</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绿化、空气质量、水质量等情况差，噪音影响严重</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2.6650%</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1.3325%</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-1.3581%</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-2.7163%</w:t>
            </w:r>
          </w:p>
        </w:tc>
      </w:tr>
      <w:tr>
        <w:tblPrEx>
          <w:tblLayout w:type="fixed"/>
          <w:tblCellMar>
            <w:top w:w="0" w:type="dxa"/>
            <w:left w:w="108" w:type="dxa"/>
            <w:bottom w:w="0" w:type="dxa"/>
            <w:right w:w="108" w:type="dxa"/>
          </w:tblCellMar>
        </w:tblPrEx>
        <w:trPr>
          <w:trHeight w:val="54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产业集聚效益</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产业集聚度高</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产业集聚度较高</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产业集聚度一般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产业集聚度较低</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产业集聚度低</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2.6144%</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1.3072%</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-1.3324%</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-2.6647%</w:t>
            </w:r>
          </w:p>
        </w:tc>
      </w:tr>
      <w:tr>
        <w:tblPrEx>
          <w:tblLayout w:type="fixed"/>
          <w:tblCellMar>
            <w:top w:w="0" w:type="dxa"/>
            <w:left w:w="108" w:type="dxa"/>
            <w:bottom w:w="0" w:type="dxa"/>
            <w:right w:w="108" w:type="dxa"/>
          </w:tblCellMar>
        </w:tblPrEx>
        <w:trPr>
          <w:trHeight w:val="27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用地潜力</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规划前景好</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规划前景较好</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规划前景较差</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规划前景差</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1.5221%</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0.7610%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-0.7757%</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-1.5514%</w:t>
            </w:r>
          </w:p>
        </w:tc>
      </w:tr>
    </w:tbl>
    <w:p>
      <w:pPr>
        <w:spacing w:line="60" w:lineRule="exact"/>
        <w:ind w:firstLine="560"/>
      </w:pP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工业用地区域因素修正系数表（三级）</w:t>
      </w:r>
    </w:p>
    <w:tbl>
      <w:tblPr>
        <w:tblStyle w:val="47"/>
        <w:tblW w:w="9279" w:type="dxa"/>
        <w:jc w:val="center"/>
        <w:tblInd w:w="0" w:type="dxa"/>
        <w:tblLayout w:type="fixed"/>
        <w:tblCellMar>
          <w:top w:w="0" w:type="dxa"/>
          <w:left w:w="108" w:type="dxa"/>
          <w:bottom w:w="0" w:type="dxa"/>
          <w:right w:w="108" w:type="dxa"/>
        </w:tblCellMar>
      </w:tblPr>
      <w:tblGrid>
        <w:gridCol w:w="1662"/>
        <w:gridCol w:w="1521"/>
        <w:gridCol w:w="1521"/>
        <w:gridCol w:w="1524"/>
        <w:gridCol w:w="1524"/>
        <w:gridCol w:w="1527"/>
      </w:tblGrid>
      <w:tr>
        <w:tblPrEx>
          <w:tblLayout w:type="fixed"/>
          <w:tblCellMar>
            <w:top w:w="0" w:type="dxa"/>
            <w:left w:w="108" w:type="dxa"/>
            <w:bottom w:w="0" w:type="dxa"/>
            <w:right w:w="108" w:type="dxa"/>
          </w:tblCellMar>
        </w:tblPrEx>
        <w:trPr>
          <w:trHeight w:val="285" w:hRule="atLeast"/>
          <w:tblHeader/>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因素/优劣度</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优</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较优</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较劣</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劣</w:t>
            </w:r>
          </w:p>
        </w:tc>
      </w:tr>
      <w:tr>
        <w:tblPrEx>
          <w:tblLayout w:type="fixed"/>
          <w:tblCellMar>
            <w:top w:w="0" w:type="dxa"/>
            <w:left w:w="108" w:type="dxa"/>
            <w:bottom w:w="0" w:type="dxa"/>
            <w:right w:w="108" w:type="dxa"/>
          </w:tblCellMar>
        </w:tblPrEx>
        <w:trPr>
          <w:trHeight w:val="108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交通条件</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道路通达度高，距汽车站、货运站、高速公路出入口近，对外交通便利</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道路通达度较高，距汽车站、货运站、高速公路出入口较近，对外交通较便利</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道路通达度一般，距汽车站、货运站、高速公路出入口一般，对外交通一般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道路通达度较低，距汽车站、货运站、高速公路出入口较远，对外交通较差</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道路通达度低，距汽车站、货运站、高速公路出入口远，对外交通差</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5.8434%</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2.9217%</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-2.6434%</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-5.2869%</w:t>
            </w:r>
          </w:p>
        </w:tc>
      </w:tr>
      <w:tr>
        <w:tblPrEx>
          <w:tblLayout w:type="fixed"/>
          <w:tblCellMar>
            <w:top w:w="0" w:type="dxa"/>
            <w:left w:w="108" w:type="dxa"/>
            <w:bottom w:w="0" w:type="dxa"/>
            <w:right w:w="108" w:type="dxa"/>
          </w:tblCellMar>
        </w:tblPrEx>
        <w:trPr>
          <w:trHeight w:val="108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基本设施状况</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市政供水，供电保证率高，排水状况好</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市政供水，供电保证率较高，排水状况较好</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市政供水，供电保证率一般，排水状况一般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市政供水，供电保证率较低，排水状况较差</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市政供水，供电保证率低，排水状况差</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6.1651%</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3.0826%</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-2.7890%</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-5.5780%</w:t>
            </w:r>
          </w:p>
        </w:tc>
      </w:tr>
      <w:tr>
        <w:tblPrEx>
          <w:tblLayout w:type="fixed"/>
          <w:tblCellMar>
            <w:top w:w="0" w:type="dxa"/>
            <w:left w:w="108" w:type="dxa"/>
            <w:bottom w:w="0" w:type="dxa"/>
            <w:right w:w="108" w:type="dxa"/>
          </w:tblCellMar>
        </w:tblPrEx>
        <w:trPr>
          <w:trHeight w:val="108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环境条件</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绿化、空气质量、水质量等情况好，无噪音影响</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绿化、空气质量、水质量等情况良好，噪音影响轻微</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绿化、空气质量、水质量等情况一般，噪音影响一般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绿化、空气质量、水质量等情况较差，噪音影响较严重</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绿化、空气质量、水质量等情况差，噪音影响严重</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2.8437%</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1.4218%</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-1.2864%</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-2.5728%</w:t>
            </w:r>
          </w:p>
        </w:tc>
      </w:tr>
      <w:tr>
        <w:tblPrEx>
          <w:tblLayout w:type="fixed"/>
          <w:tblCellMar>
            <w:top w:w="0" w:type="dxa"/>
            <w:left w:w="108" w:type="dxa"/>
            <w:bottom w:w="0" w:type="dxa"/>
            <w:right w:w="108" w:type="dxa"/>
          </w:tblCellMar>
        </w:tblPrEx>
        <w:trPr>
          <w:trHeight w:val="54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产业集聚效益</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产业集聚度高</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产业集聚度较高</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产业集聚度一般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产业集聚度较低</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产业集聚度低</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2.7897%</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1.3949%</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-1.2620%</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-2.5240%</w:t>
            </w:r>
          </w:p>
        </w:tc>
      </w:tr>
      <w:tr>
        <w:tblPrEx>
          <w:tblLayout w:type="fixed"/>
          <w:tblCellMar>
            <w:top w:w="0" w:type="dxa"/>
            <w:left w:w="108" w:type="dxa"/>
            <w:bottom w:w="0" w:type="dxa"/>
            <w:right w:w="108" w:type="dxa"/>
          </w:tblCellMar>
        </w:tblPrEx>
        <w:trPr>
          <w:trHeight w:val="27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用地潜力</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规划前景好</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规划前景较好</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规划前景一般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规划前景较差</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规划前景差</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1.6241%</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0.8121%</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-0.7347%</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-1.4694%</w:t>
            </w:r>
          </w:p>
        </w:tc>
      </w:tr>
    </w:tbl>
    <w:p>
      <w:pPr>
        <w:spacing w:line="60" w:lineRule="exact"/>
        <w:ind w:firstLine="560"/>
      </w:pP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工业用地区域因素修正系数表（四级）</w:t>
      </w:r>
    </w:p>
    <w:tbl>
      <w:tblPr>
        <w:tblStyle w:val="47"/>
        <w:tblW w:w="9279" w:type="dxa"/>
        <w:jc w:val="center"/>
        <w:tblInd w:w="0" w:type="dxa"/>
        <w:tblLayout w:type="fixed"/>
        <w:tblCellMar>
          <w:top w:w="0" w:type="dxa"/>
          <w:left w:w="108" w:type="dxa"/>
          <w:bottom w:w="0" w:type="dxa"/>
          <w:right w:w="108" w:type="dxa"/>
        </w:tblCellMar>
      </w:tblPr>
      <w:tblGrid>
        <w:gridCol w:w="1662"/>
        <w:gridCol w:w="1521"/>
        <w:gridCol w:w="1521"/>
        <w:gridCol w:w="1524"/>
        <w:gridCol w:w="1524"/>
        <w:gridCol w:w="1527"/>
      </w:tblGrid>
      <w:tr>
        <w:tblPrEx>
          <w:tblLayout w:type="fixed"/>
          <w:tblCellMar>
            <w:top w:w="0" w:type="dxa"/>
            <w:left w:w="108" w:type="dxa"/>
            <w:bottom w:w="0" w:type="dxa"/>
            <w:right w:w="108" w:type="dxa"/>
          </w:tblCellMar>
        </w:tblPrEx>
        <w:trPr>
          <w:trHeight w:val="285" w:hRule="atLeast"/>
          <w:tblHeader/>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因素/优劣度</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优</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较优</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较劣</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劣</w:t>
            </w:r>
          </w:p>
        </w:tc>
      </w:tr>
      <w:tr>
        <w:tblPrEx>
          <w:tblLayout w:type="fixed"/>
          <w:tblCellMar>
            <w:top w:w="0" w:type="dxa"/>
            <w:left w:w="108" w:type="dxa"/>
            <w:bottom w:w="0" w:type="dxa"/>
            <w:right w:w="108" w:type="dxa"/>
          </w:tblCellMar>
        </w:tblPrEx>
        <w:trPr>
          <w:trHeight w:val="108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交通条件</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道路通达度高，距汽车站、货运站、高速公路出入口近，对外交通便利</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道路通达度较高，距汽车站、货运站、高速公路出入口较近，对外交通较便利</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道路通达度一般，距汽车站、货运站、高速公路出入口一般，对外交通一般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道路通达度较低，距汽车站、货运站、高速公路出入口较远，对外交通较差</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道路通达度低，距汽车站、货运站、高速公路出入口远，对外交通差</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4.4749%</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2.2375%</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-2.7347%</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-5.4693%</w:t>
            </w:r>
          </w:p>
        </w:tc>
      </w:tr>
      <w:tr>
        <w:tblPrEx>
          <w:tblLayout w:type="fixed"/>
          <w:tblCellMar>
            <w:top w:w="0" w:type="dxa"/>
            <w:left w:w="108" w:type="dxa"/>
            <w:bottom w:w="0" w:type="dxa"/>
            <w:right w:w="108" w:type="dxa"/>
          </w:tblCellMar>
        </w:tblPrEx>
        <w:trPr>
          <w:trHeight w:val="108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基本设施状况</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市政供水，供电保证率高，排水状况好</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市政供水，供电保证率较高，排水状况较好</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市政供水，供电保证率一般，排水状况一般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市政供水，供电保证率较低，排水状况较差</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市政供水，供电保证率低，排水状况差</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4.7213%</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2.3607%</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-2.8852%</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-5.7705%</w:t>
            </w:r>
          </w:p>
        </w:tc>
      </w:tr>
      <w:tr>
        <w:tblPrEx>
          <w:tblLayout w:type="fixed"/>
          <w:tblCellMar>
            <w:top w:w="0" w:type="dxa"/>
            <w:left w:w="108" w:type="dxa"/>
            <w:bottom w:w="0" w:type="dxa"/>
            <w:right w:w="108" w:type="dxa"/>
          </w:tblCellMar>
        </w:tblPrEx>
        <w:trPr>
          <w:trHeight w:val="108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环境条件</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绿化、空气质量、水质量等情况好，无噪音影响</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绿化、空气质量、水质量等情况良好，噪音影响轻微</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绿化、空气质量、水质量等情况一般，噪音影响一般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绿化、空气质量、水质量等情况较差，噪音影响较严重</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绿化、空气质量、水质量等情况差，噪音影响严重</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2.1777%</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1.0889%</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-1.3308%</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-2.6616%</w:t>
            </w:r>
          </w:p>
        </w:tc>
      </w:tr>
      <w:tr>
        <w:tblPrEx>
          <w:tblLayout w:type="fixed"/>
          <w:tblCellMar>
            <w:top w:w="0" w:type="dxa"/>
            <w:left w:w="108" w:type="dxa"/>
            <w:bottom w:w="0" w:type="dxa"/>
            <w:right w:w="108" w:type="dxa"/>
          </w:tblCellMar>
        </w:tblPrEx>
        <w:trPr>
          <w:trHeight w:val="54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产业集聚效益</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产业集聚度高</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产业集聚度较高</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产业集聚度一般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产业集聚度较低</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产业集聚度低</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2.1364%</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1.0682%</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-1.3056%</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-2.6111%</w:t>
            </w:r>
          </w:p>
        </w:tc>
      </w:tr>
      <w:tr>
        <w:tblPrEx>
          <w:tblLayout w:type="fixed"/>
          <w:tblCellMar>
            <w:top w:w="0" w:type="dxa"/>
            <w:left w:w="108" w:type="dxa"/>
            <w:bottom w:w="0" w:type="dxa"/>
            <w:right w:w="108" w:type="dxa"/>
          </w:tblCellMar>
        </w:tblPrEx>
        <w:trPr>
          <w:trHeight w:val="27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用地潜力</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规划前景好</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规划前景较好</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规划前景一般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规划前景较差</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规划前景差</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1.2438%</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0.6219%</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-0.7601%</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-1.5202%</w:t>
            </w:r>
          </w:p>
        </w:tc>
      </w:tr>
    </w:tbl>
    <w:p>
      <w:pPr>
        <w:spacing w:line="60" w:lineRule="exact"/>
        <w:ind w:firstLine="560"/>
      </w:pP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工业用地区域因素修正系数表（五级）</w:t>
      </w:r>
    </w:p>
    <w:tbl>
      <w:tblPr>
        <w:tblStyle w:val="47"/>
        <w:tblW w:w="9286" w:type="dxa"/>
        <w:jc w:val="center"/>
        <w:tblInd w:w="0" w:type="dxa"/>
        <w:tblLayout w:type="fixed"/>
        <w:tblCellMar>
          <w:top w:w="0" w:type="dxa"/>
          <w:left w:w="108" w:type="dxa"/>
          <w:bottom w:w="0" w:type="dxa"/>
          <w:right w:w="108" w:type="dxa"/>
        </w:tblCellMar>
      </w:tblPr>
      <w:tblGrid>
        <w:gridCol w:w="1662"/>
        <w:gridCol w:w="1523"/>
        <w:gridCol w:w="1523"/>
        <w:gridCol w:w="1523"/>
        <w:gridCol w:w="1524"/>
        <w:gridCol w:w="1531"/>
      </w:tblGrid>
      <w:tr>
        <w:tblPrEx>
          <w:tblLayout w:type="fixed"/>
          <w:tblCellMar>
            <w:top w:w="0" w:type="dxa"/>
            <w:left w:w="108" w:type="dxa"/>
            <w:bottom w:w="0" w:type="dxa"/>
            <w:right w:w="108" w:type="dxa"/>
          </w:tblCellMar>
        </w:tblPrEx>
        <w:trPr>
          <w:trHeight w:val="397" w:hRule="atLeast"/>
          <w:tblHeader/>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因素/优劣度</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优</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较优</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较劣</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劣</w:t>
            </w:r>
          </w:p>
        </w:tc>
      </w:tr>
      <w:tr>
        <w:tblPrEx>
          <w:tblLayout w:type="fixed"/>
          <w:tblCellMar>
            <w:top w:w="0" w:type="dxa"/>
            <w:left w:w="108" w:type="dxa"/>
            <w:bottom w:w="0" w:type="dxa"/>
            <w:right w:w="108" w:type="dxa"/>
          </w:tblCellMar>
        </w:tblPrEx>
        <w:trPr>
          <w:trHeight w:val="397"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交通条件</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道路通达度高，距汽车站、货运站、高速公路出入口近，对外交通便利</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道路通达度较高，距汽车站、货运站、高速公路出入口较近，对外交通较便利</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道路通达度一般，距汽车站、货运站、高速公路出入口一般，对外交通一般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道路通达度较低，距汽车站、货运站、高速公路出入口较远，对外交通较差</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道路通达度低，距汽车站、货运站、高速公路出入口远，对外交通差</w:t>
            </w:r>
          </w:p>
        </w:tc>
      </w:tr>
      <w:tr>
        <w:tblPrEx>
          <w:tblLayout w:type="fixed"/>
          <w:tblCellMar>
            <w:top w:w="0" w:type="dxa"/>
            <w:left w:w="108" w:type="dxa"/>
            <w:bottom w:w="0" w:type="dxa"/>
            <w:right w:w="108" w:type="dxa"/>
          </w:tblCellMar>
        </w:tblPrEx>
        <w:trPr>
          <w:trHeight w:val="397"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5.5145%</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2.7573%</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-2.7573%</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-5.5145%</w:t>
            </w:r>
          </w:p>
        </w:tc>
      </w:tr>
      <w:tr>
        <w:tblPrEx>
          <w:tblLayout w:type="fixed"/>
          <w:tblCellMar>
            <w:top w:w="0" w:type="dxa"/>
            <w:left w:w="108" w:type="dxa"/>
            <w:bottom w:w="0" w:type="dxa"/>
            <w:right w:w="108" w:type="dxa"/>
          </w:tblCellMar>
        </w:tblPrEx>
        <w:trPr>
          <w:trHeight w:val="397"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基本设施状况</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市政供水，供电保证率高，排水状况好</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市政供水，供电保证率较高，排水状况较好</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市政供水，供电保证率一般，排水状况一般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市政供水，供电保证率较低，排水状况较差</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市政供水，供电保证率低，排水状况差</w:t>
            </w:r>
          </w:p>
        </w:tc>
      </w:tr>
      <w:tr>
        <w:tblPrEx>
          <w:tblLayout w:type="fixed"/>
          <w:tblCellMar>
            <w:top w:w="0" w:type="dxa"/>
            <w:left w:w="108" w:type="dxa"/>
            <w:bottom w:w="0" w:type="dxa"/>
            <w:right w:w="108" w:type="dxa"/>
          </w:tblCellMar>
        </w:tblPrEx>
        <w:trPr>
          <w:trHeight w:val="397"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5.8182%</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2.9091%</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-2.9091%</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-5.8182%</w:t>
            </w:r>
          </w:p>
        </w:tc>
      </w:tr>
      <w:tr>
        <w:tblPrEx>
          <w:tblLayout w:type="fixed"/>
          <w:tblCellMar>
            <w:top w:w="0" w:type="dxa"/>
            <w:left w:w="108" w:type="dxa"/>
            <w:bottom w:w="0" w:type="dxa"/>
            <w:right w:w="108" w:type="dxa"/>
          </w:tblCellMar>
        </w:tblPrEx>
        <w:trPr>
          <w:trHeight w:val="397"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环境条件</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绿化、空气质量、水质量等情况好，无噪音影响</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绿化、空气质量、水质量等情况良好，噪音影响轻微</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绿化、空气质量、水质量等情况一般，噪音影响一般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绿化、空气质量、水质量等情况较差，噪音影响较严重</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绿化、空气质量、水质量等情况差，噪音影响严重</w:t>
            </w:r>
          </w:p>
        </w:tc>
      </w:tr>
      <w:tr>
        <w:tblPrEx>
          <w:tblLayout w:type="fixed"/>
          <w:tblCellMar>
            <w:top w:w="0" w:type="dxa"/>
            <w:left w:w="108" w:type="dxa"/>
            <w:bottom w:w="0" w:type="dxa"/>
            <w:right w:w="108" w:type="dxa"/>
          </w:tblCellMar>
        </w:tblPrEx>
        <w:trPr>
          <w:trHeight w:val="397"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2.6836%</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1.3418%</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-1.3418%</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-2.6836%</w:t>
            </w:r>
          </w:p>
        </w:tc>
      </w:tr>
      <w:tr>
        <w:tblPrEx>
          <w:tblLayout w:type="fixed"/>
          <w:tblCellMar>
            <w:top w:w="0" w:type="dxa"/>
            <w:left w:w="108" w:type="dxa"/>
            <w:bottom w:w="0" w:type="dxa"/>
            <w:right w:w="108" w:type="dxa"/>
          </w:tblCellMar>
        </w:tblPrEx>
        <w:trPr>
          <w:trHeight w:val="397"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产业集聚效益</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产业集聚度高</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产业集聚度较高</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产业集聚度一般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产业集聚度较低</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产业集聚度低</w:t>
            </w:r>
          </w:p>
        </w:tc>
      </w:tr>
      <w:tr>
        <w:tblPrEx>
          <w:tblLayout w:type="fixed"/>
          <w:tblCellMar>
            <w:top w:w="0" w:type="dxa"/>
            <w:left w:w="108" w:type="dxa"/>
            <w:bottom w:w="0" w:type="dxa"/>
            <w:right w:w="108" w:type="dxa"/>
          </w:tblCellMar>
        </w:tblPrEx>
        <w:trPr>
          <w:trHeight w:val="397"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2.6327%</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1.3164%</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-1.3164%</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-2.6327%</w:t>
            </w:r>
          </w:p>
        </w:tc>
      </w:tr>
      <w:tr>
        <w:tblPrEx>
          <w:tblLayout w:type="fixed"/>
          <w:tblCellMar>
            <w:top w:w="0" w:type="dxa"/>
            <w:left w:w="108" w:type="dxa"/>
            <w:bottom w:w="0" w:type="dxa"/>
            <w:right w:w="108" w:type="dxa"/>
          </w:tblCellMar>
        </w:tblPrEx>
        <w:trPr>
          <w:trHeight w:val="397"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用地潜力</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规划前景好</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规划前景较好</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规划前景一般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规划前景较差</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规划前景差</w:t>
            </w:r>
          </w:p>
        </w:tc>
      </w:tr>
      <w:tr>
        <w:tblPrEx>
          <w:tblLayout w:type="fixed"/>
          <w:tblCellMar>
            <w:top w:w="0" w:type="dxa"/>
            <w:left w:w="108" w:type="dxa"/>
            <w:bottom w:w="0" w:type="dxa"/>
            <w:right w:w="108" w:type="dxa"/>
          </w:tblCellMar>
        </w:tblPrEx>
        <w:trPr>
          <w:trHeight w:val="397"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1.5327%</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0.7664%</w:t>
            </w:r>
          </w:p>
        </w:tc>
        <w:tc>
          <w:tcPr>
            <w:tcW w:w="15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-0.7664%</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-1.5327%</w:t>
            </w:r>
          </w:p>
        </w:tc>
      </w:tr>
    </w:tbl>
    <w:p>
      <w:pPr>
        <w:numPr>
          <w:ilvl w:val="0"/>
          <w:numId w:val="4"/>
        </w:numPr>
        <w:tabs>
          <w:tab w:val="left" w:pos="0"/>
        </w:tabs>
        <w:spacing w:before="72" w:after="72"/>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容积率修正系数</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考虑到鼓励工业用地集约节约利用以及对工业用地增加容积率不加收出让金的客观实际，此次基准地价成果，工业用地不作容积率修正，即容积率修正系数取1.0。</w:t>
      </w:r>
    </w:p>
    <w:p>
      <w:pPr>
        <w:numPr>
          <w:ilvl w:val="0"/>
          <w:numId w:val="4"/>
        </w:numPr>
        <w:tabs>
          <w:tab w:val="left" w:pos="0"/>
        </w:tabs>
        <w:spacing w:before="72" w:after="72"/>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其他个别因素修正编制</w:t>
      </w: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其他个别因素修正系数表</w:t>
      </w:r>
    </w:p>
    <w:tbl>
      <w:tblPr>
        <w:tblStyle w:val="47"/>
        <w:tblW w:w="907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99"/>
        <w:gridCol w:w="1338"/>
        <w:gridCol w:w="1365"/>
        <w:gridCol w:w="1365"/>
        <w:gridCol w:w="1312"/>
        <w:gridCol w:w="1296"/>
        <w:gridCol w:w="1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2437" w:type="dxa"/>
            <w:gridSpan w:val="2"/>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指标标准</w:t>
            </w:r>
          </w:p>
        </w:tc>
        <w:tc>
          <w:tcPr>
            <w:tcW w:w="1365"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优</w:t>
            </w:r>
          </w:p>
        </w:tc>
        <w:tc>
          <w:tcPr>
            <w:tcW w:w="1365"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较优</w:t>
            </w:r>
          </w:p>
        </w:tc>
        <w:tc>
          <w:tcPr>
            <w:tcW w:w="1312"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一般</w:t>
            </w:r>
          </w:p>
        </w:tc>
        <w:tc>
          <w:tcPr>
            <w:tcW w:w="1296"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较劣</w:t>
            </w:r>
          </w:p>
        </w:tc>
        <w:tc>
          <w:tcPr>
            <w:tcW w:w="1300"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099" w:type="dxa"/>
            <w:vMerge w:val="restart"/>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宗地形状</w:t>
            </w:r>
          </w:p>
        </w:tc>
        <w:tc>
          <w:tcPr>
            <w:tcW w:w="1338"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指标说明</w:t>
            </w:r>
          </w:p>
        </w:tc>
        <w:tc>
          <w:tcPr>
            <w:tcW w:w="1365"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形状规则，对土地利用极为有利</w:t>
            </w:r>
          </w:p>
        </w:tc>
        <w:tc>
          <w:tcPr>
            <w:tcW w:w="1365"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pacing w:val="-1"/>
                <w:sz w:val="24"/>
              </w:rPr>
              <w:t>形状较规</w:t>
            </w:r>
            <w:r>
              <w:rPr>
                <w:rFonts w:hint="eastAsia" w:ascii="仿宋_GB2312" w:hAnsi="仿宋_GB2312" w:eastAsia="仿宋_GB2312" w:cs="仿宋_GB2312"/>
                <w:spacing w:val="-5"/>
                <w:sz w:val="24"/>
              </w:rPr>
              <w:t>则，对土地利用较为有</w:t>
            </w:r>
            <w:r>
              <w:rPr>
                <w:rFonts w:hint="eastAsia" w:ascii="仿宋_GB2312" w:hAnsi="仿宋_GB2312" w:eastAsia="仿宋_GB2312" w:cs="仿宋_GB2312"/>
                <w:sz w:val="24"/>
              </w:rPr>
              <w:t>利</w:t>
            </w:r>
          </w:p>
        </w:tc>
        <w:tc>
          <w:tcPr>
            <w:tcW w:w="1312"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形状基本规则，对土地利用无不良影响</w:t>
            </w:r>
          </w:p>
        </w:tc>
        <w:tc>
          <w:tcPr>
            <w:tcW w:w="1296"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形状较不规则，对土地利用有一定影响</w:t>
            </w:r>
          </w:p>
        </w:tc>
        <w:tc>
          <w:tcPr>
            <w:tcW w:w="1300"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形状不规则，对土地利用产生严重影响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099" w:type="dxa"/>
            <w:vMerge w:val="continue"/>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z w:val="24"/>
              </w:rPr>
            </w:pPr>
          </w:p>
        </w:tc>
        <w:tc>
          <w:tcPr>
            <w:tcW w:w="1338"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修正系数</w:t>
            </w:r>
          </w:p>
        </w:tc>
        <w:tc>
          <w:tcPr>
            <w:tcW w:w="1365"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lang w:val="en-US"/>
              </w:rPr>
              <w:t>2%</w:t>
            </w:r>
          </w:p>
        </w:tc>
        <w:tc>
          <w:tcPr>
            <w:tcW w:w="1365"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lang w:val="en-US"/>
              </w:rPr>
              <w:t>1%</w:t>
            </w:r>
          </w:p>
        </w:tc>
        <w:tc>
          <w:tcPr>
            <w:tcW w:w="1312"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rPr>
              <w:t>0</w:t>
            </w:r>
            <w:r>
              <w:rPr>
                <w:rFonts w:hint="eastAsia" w:ascii="仿宋_GB2312" w:hAnsi="仿宋_GB2312" w:eastAsia="仿宋_GB2312" w:cs="仿宋_GB2312"/>
                <w:sz w:val="24"/>
                <w:lang w:val="en-US"/>
              </w:rPr>
              <w:t>.00%</w:t>
            </w:r>
          </w:p>
        </w:tc>
        <w:tc>
          <w:tcPr>
            <w:tcW w:w="1296"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rPr>
              <w:t>-</w:t>
            </w:r>
            <w:r>
              <w:rPr>
                <w:rFonts w:hint="eastAsia" w:ascii="仿宋_GB2312" w:hAnsi="仿宋_GB2312" w:eastAsia="仿宋_GB2312" w:cs="仿宋_GB2312"/>
                <w:sz w:val="24"/>
                <w:lang w:val="en-US"/>
              </w:rPr>
              <w:t>1%</w:t>
            </w:r>
          </w:p>
        </w:tc>
        <w:tc>
          <w:tcPr>
            <w:tcW w:w="1300"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rPr>
              <w:t>-</w:t>
            </w:r>
            <w:r>
              <w:rPr>
                <w:rFonts w:hint="eastAsia" w:ascii="仿宋_GB2312" w:hAnsi="仿宋_GB2312" w:eastAsia="仿宋_GB2312" w:cs="仿宋_GB2312"/>
                <w:sz w:val="24"/>
                <w:lang w:val="en-US"/>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099" w:type="dxa"/>
            <w:vMerge w:val="restart"/>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宗地地基承载力</w:t>
            </w:r>
          </w:p>
        </w:tc>
        <w:tc>
          <w:tcPr>
            <w:tcW w:w="1338"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指标说明</w:t>
            </w:r>
          </w:p>
        </w:tc>
        <w:tc>
          <w:tcPr>
            <w:tcW w:w="1365"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宗地地基承载力好</w:t>
            </w:r>
          </w:p>
        </w:tc>
        <w:tc>
          <w:tcPr>
            <w:tcW w:w="1365"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宗地地基承载力较好</w:t>
            </w:r>
          </w:p>
        </w:tc>
        <w:tc>
          <w:tcPr>
            <w:tcW w:w="1312"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宗地地基承载力适</w:t>
            </w:r>
          </w:p>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宜</w:t>
            </w:r>
          </w:p>
        </w:tc>
        <w:tc>
          <w:tcPr>
            <w:tcW w:w="1296"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宗地地基承载力较</w:t>
            </w:r>
          </w:p>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差</w:t>
            </w:r>
          </w:p>
        </w:tc>
        <w:tc>
          <w:tcPr>
            <w:tcW w:w="1300"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宗地地基承载力差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099" w:type="dxa"/>
            <w:vMerge w:val="continue"/>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z w:val="24"/>
              </w:rPr>
            </w:pPr>
          </w:p>
        </w:tc>
        <w:tc>
          <w:tcPr>
            <w:tcW w:w="1338"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修正系数</w:t>
            </w:r>
          </w:p>
        </w:tc>
        <w:tc>
          <w:tcPr>
            <w:tcW w:w="1365"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lang w:val="en-US"/>
              </w:rPr>
              <w:t>2%</w:t>
            </w:r>
          </w:p>
        </w:tc>
        <w:tc>
          <w:tcPr>
            <w:tcW w:w="1365"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lang w:val="en-US"/>
              </w:rPr>
              <w:t>1%</w:t>
            </w:r>
          </w:p>
        </w:tc>
        <w:tc>
          <w:tcPr>
            <w:tcW w:w="1312"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0</w:t>
            </w:r>
            <w:r>
              <w:rPr>
                <w:rFonts w:hint="eastAsia" w:ascii="仿宋_GB2312" w:hAnsi="仿宋_GB2312" w:eastAsia="仿宋_GB2312" w:cs="仿宋_GB2312"/>
                <w:sz w:val="24"/>
                <w:lang w:val="en-US"/>
              </w:rPr>
              <w:t>.00%</w:t>
            </w:r>
          </w:p>
        </w:tc>
        <w:tc>
          <w:tcPr>
            <w:tcW w:w="1296"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w:t>
            </w:r>
            <w:r>
              <w:rPr>
                <w:rFonts w:hint="eastAsia" w:ascii="仿宋_GB2312" w:hAnsi="仿宋_GB2312" w:eastAsia="仿宋_GB2312" w:cs="仿宋_GB2312"/>
                <w:sz w:val="24"/>
                <w:lang w:val="en-US"/>
              </w:rPr>
              <w:t>1%</w:t>
            </w:r>
          </w:p>
        </w:tc>
        <w:tc>
          <w:tcPr>
            <w:tcW w:w="1300"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w:t>
            </w:r>
            <w:r>
              <w:rPr>
                <w:rFonts w:hint="eastAsia" w:ascii="仿宋_GB2312" w:hAnsi="仿宋_GB2312" w:eastAsia="仿宋_GB2312" w:cs="仿宋_GB2312"/>
                <w:sz w:val="24"/>
                <w:lang w:val="en-US"/>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099" w:type="dxa"/>
            <w:vMerge w:val="restart"/>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宗地大小</w:t>
            </w:r>
          </w:p>
        </w:tc>
        <w:tc>
          <w:tcPr>
            <w:tcW w:w="1338"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指标说明</w:t>
            </w:r>
          </w:p>
        </w:tc>
        <w:tc>
          <w:tcPr>
            <w:tcW w:w="1365"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pacing w:val="-1"/>
                <w:sz w:val="24"/>
              </w:rPr>
              <w:t>宗地面积</w:t>
            </w:r>
            <w:r>
              <w:rPr>
                <w:rFonts w:hint="eastAsia" w:ascii="仿宋_GB2312" w:hAnsi="仿宋_GB2312" w:eastAsia="仿宋_GB2312" w:cs="仿宋_GB2312"/>
                <w:spacing w:val="-5"/>
                <w:sz w:val="24"/>
              </w:rPr>
              <w:t>大，利于开</w:t>
            </w:r>
            <w:r>
              <w:rPr>
                <w:rFonts w:hint="eastAsia" w:ascii="仿宋_GB2312" w:hAnsi="仿宋_GB2312" w:eastAsia="仿宋_GB2312" w:cs="仿宋_GB2312"/>
                <w:sz w:val="24"/>
              </w:rPr>
              <w:t>发利用</w:t>
            </w:r>
          </w:p>
        </w:tc>
        <w:tc>
          <w:tcPr>
            <w:tcW w:w="1365"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宗地面积较大，较利于开发利用</w:t>
            </w:r>
          </w:p>
        </w:tc>
        <w:tc>
          <w:tcPr>
            <w:tcW w:w="1312"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pacing w:val="-5"/>
                <w:sz w:val="24"/>
              </w:rPr>
              <w:t>宗地面积适中，开发利用情</w:t>
            </w:r>
            <w:r>
              <w:rPr>
                <w:rFonts w:hint="eastAsia" w:ascii="仿宋_GB2312" w:hAnsi="仿宋_GB2312" w:eastAsia="仿宋_GB2312" w:cs="仿宋_GB2312"/>
                <w:sz w:val="24"/>
              </w:rPr>
              <w:t>况一般</w:t>
            </w:r>
          </w:p>
        </w:tc>
        <w:tc>
          <w:tcPr>
            <w:tcW w:w="1296"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pacing w:val="-5"/>
                <w:sz w:val="24"/>
              </w:rPr>
              <w:t>宗地面积偏小，较不利于开</w:t>
            </w:r>
            <w:r>
              <w:rPr>
                <w:rFonts w:hint="eastAsia" w:ascii="仿宋_GB2312" w:hAnsi="仿宋_GB2312" w:eastAsia="仿宋_GB2312" w:cs="仿宋_GB2312"/>
                <w:sz w:val="24"/>
              </w:rPr>
              <w:t>发利用</w:t>
            </w:r>
          </w:p>
        </w:tc>
        <w:tc>
          <w:tcPr>
            <w:tcW w:w="1300"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宗地面积过小，不利于开发利用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099" w:type="dxa"/>
            <w:vMerge w:val="continue"/>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z w:val="24"/>
              </w:rPr>
            </w:pPr>
          </w:p>
        </w:tc>
        <w:tc>
          <w:tcPr>
            <w:tcW w:w="1338"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修正系数</w:t>
            </w:r>
          </w:p>
        </w:tc>
        <w:tc>
          <w:tcPr>
            <w:tcW w:w="1365"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lang w:val="en-US"/>
              </w:rPr>
              <w:t>2%</w:t>
            </w:r>
          </w:p>
        </w:tc>
        <w:tc>
          <w:tcPr>
            <w:tcW w:w="1365"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lang w:val="en-US"/>
              </w:rPr>
              <w:t>1%</w:t>
            </w:r>
          </w:p>
        </w:tc>
        <w:tc>
          <w:tcPr>
            <w:tcW w:w="1312"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0</w:t>
            </w:r>
            <w:r>
              <w:rPr>
                <w:rFonts w:hint="eastAsia" w:ascii="仿宋_GB2312" w:hAnsi="仿宋_GB2312" w:eastAsia="仿宋_GB2312" w:cs="仿宋_GB2312"/>
                <w:sz w:val="24"/>
                <w:lang w:val="en-US"/>
              </w:rPr>
              <w:t>.00%</w:t>
            </w:r>
          </w:p>
        </w:tc>
        <w:tc>
          <w:tcPr>
            <w:tcW w:w="1296"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w:t>
            </w:r>
            <w:r>
              <w:rPr>
                <w:rFonts w:hint="eastAsia" w:ascii="仿宋_GB2312" w:hAnsi="仿宋_GB2312" w:eastAsia="仿宋_GB2312" w:cs="仿宋_GB2312"/>
                <w:sz w:val="24"/>
                <w:lang w:val="en-US"/>
              </w:rPr>
              <w:t>1%</w:t>
            </w:r>
          </w:p>
        </w:tc>
        <w:tc>
          <w:tcPr>
            <w:tcW w:w="1300"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w:t>
            </w:r>
            <w:r>
              <w:rPr>
                <w:rFonts w:hint="eastAsia" w:ascii="仿宋_GB2312" w:hAnsi="仿宋_GB2312" w:eastAsia="仿宋_GB2312" w:cs="仿宋_GB2312"/>
                <w:sz w:val="24"/>
                <w:lang w:val="en-US"/>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099" w:type="dxa"/>
            <w:vMerge w:val="restart"/>
            <w:tcBorders>
              <w:top w:val="single" w:color="auto" w:sz="4" w:space="0"/>
              <w:left w:val="single" w:color="auto" w:sz="4" w:space="0"/>
              <w:bottom w:val="single" w:color="auto" w:sz="4" w:space="0"/>
              <w:right w:val="single" w:color="auto" w:sz="4" w:space="0"/>
            </w:tcBorders>
            <w:vAlign w:val="center"/>
          </w:tcPr>
          <w:p>
            <w:pPr>
              <w:spacing w:before="72" w:after="72" w:line="240" w:lineRule="auto"/>
              <w:ind w:firstLine="0" w:firstLineChars="0"/>
              <w:jc w:val="center"/>
              <w:rPr>
                <w:rFonts w:ascii="仿宋_GB2312" w:hAnsi="仿宋_GB2312" w:eastAsia="仿宋_GB2312" w:cs="仿宋_GB2312"/>
                <w:sz w:val="24"/>
              </w:rPr>
            </w:pPr>
            <w:bookmarkStart w:id="86" w:name="_Toc435179427"/>
            <w:bookmarkStart w:id="87" w:name="_Toc435192445"/>
            <w:bookmarkStart w:id="88" w:name="_Toc435108589"/>
            <w:bookmarkStart w:id="89" w:name="_Toc435438843"/>
            <w:bookmarkStart w:id="90" w:name="_Toc435109091"/>
            <w:r>
              <w:rPr>
                <w:rFonts w:hint="eastAsia" w:ascii="仿宋_GB2312" w:hAnsi="仿宋_GB2312" w:eastAsia="仿宋_GB2312" w:cs="仿宋_GB2312"/>
                <w:sz w:val="24"/>
              </w:rPr>
              <w:t>地形</w:t>
            </w:r>
          </w:p>
        </w:tc>
        <w:tc>
          <w:tcPr>
            <w:tcW w:w="1338" w:type="dxa"/>
            <w:tcBorders>
              <w:top w:val="single" w:color="auto" w:sz="4" w:space="0"/>
              <w:left w:val="single" w:color="auto" w:sz="4" w:space="0"/>
              <w:bottom w:val="single" w:color="auto" w:sz="4" w:space="0"/>
              <w:right w:val="single" w:color="auto" w:sz="4" w:space="0"/>
            </w:tcBorders>
            <w:vAlign w:val="center"/>
          </w:tcPr>
          <w:p>
            <w:pPr>
              <w:snapToGrid w:val="0"/>
              <w:spacing w:before="72" w:after="72"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napToGrid w:val="0"/>
                <w:kern w:val="0"/>
                <w:sz w:val="24"/>
              </w:rPr>
              <w:t>指标说明</w:t>
            </w:r>
          </w:p>
        </w:tc>
        <w:tc>
          <w:tcPr>
            <w:tcW w:w="1365" w:type="dxa"/>
            <w:tcBorders>
              <w:top w:val="single" w:color="auto" w:sz="4" w:space="0"/>
              <w:left w:val="single" w:color="auto" w:sz="4" w:space="0"/>
              <w:bottom w:val="single" w:color="auto" w:sz="4" w:space="0"/>
              <w:right w:val="single" w:color="auto" w:sz="4" w:space="0"/>
            </w:tcBorders>
            <w:vAlign w:val="center"/>
          </w:tcPr>
          <w:p>
            <w:pPr>
              <w:autoSpaceDE/>
              <w:autoSpaceDN/>
              <w:snapToGrid w:val="0"/>
              <w:spacing w:line="240" w:lineRule="auto"/>
              <w:ind w:firstLine="0" w:firstLineChars="0"/>
              <w:jc w:val="center"/>
              <w:rPr>
                <w:rFonts w:ascii="仿宋_GB2312" w:hAnsi="仿宋_GB2312" w:eastAsia="仿宋_GB2312" w:cs="仿宋_GB2312"/>
                <w:sz w:val="24"/>
                <w:lang w:bidi="zh-CN"/>
              </w:rPr>
            </w:pPr>
            <w:r>
              <w:rPr>
                <w:rFonts w:hint="eastAsia" w:ascii="仿宋_GB2312" w:hAnsi="仿宋_GB2312" w:eastAsia="仿宋_GB2312" w:cs="仿宋_GB2312"/>
                <w:sz w:val="24"/>
                <w:lang w:val="zh-CN" w:bidi="zh-CN"/>
              </w:rPr>
              <w:t>地形平坦，可直接开发利用</w:t>
            </w:r>
          </w:p>
        </w:tc>
        <w:tc>
          <w:tcPr>
            <w:tcW w:w="1365" w:type="dxa"/>
            <w:tcBorders>
              <w:top w:val="single" w:color="auto" w:sz="4" w:space="0"/>
              <w:left w:val="single" w:color="auto" w:sz="4" w:space="0"/>
              <w:bottom w:val="single" w:color="auto" w:sz="4" w:space="0"/>
              <w:right w:val="single" w:color="auto" w:sz="4" w:space="0"/>
            </w:tcBorders>
            <w:vAlign w:val="center"/>
          </w:tcPr>
          <w:p>
            <w:pPr>
              <w:autoSpaceDE/>
              <w:autoSpaceDN/>
              <w:snapToGrid w:val="0"/>
              <w:spacing w:line="240" w:lineRule="auto"/>
              <w:ind w:firstLine="0" w:firstLineChars="0"/>
              <w:jc w:val="center"/>
              <w:rPr>
                <w:rFonts w:ascii="仿宋_GB2312" w:hAnsi="仿宋_GB2312" w:eastAsia="仿宋_GB2312" w:cs="仿宋_GB2312"/>
                <w:sz w:val="24"/>
                <w:lang w:bidi="zh-CN"/>
              </w:rPr>
            </w:pPr>
            <w:r>
              <w:rPr>
                <w:rFonts w:hint="eastAsia" w:ascii="仿宋_GB2312" w:hAnsi="仿宋_GB2312" w:eastAsia="仿宋_GB2312" w:cs="仿宋_GB2312"/>
                <w:sz w:val="24"/>
                <w:lang w:val="zh-CN" w:bidi="zh-CN"/>
              </w:rPr>
              <w:t>地形较平坦</w:t>
            </w:r>
          </w:p>
        </w:tc>
        <w:tc>
          <w:tcPr>
            <w:tcW w:w="1312" w:type="dxa"/>
            <w:tcBorders>
              <w:top w:val="single" w:color="auto" w:sz="4" w:space="0"/>
              <w:left w:val="single" w:color="auto" w:sz="4" w:space="0"/>
              <w:bottom w:val="single" w:color="auto" w:sz="4" w:space="0"/>
              <w:right w:val="single" w:color="auto" w:sz="4" w:space="0"/>
            </w:tcBorders>
            <w:vAlign w:val="center"/>
          </w:tcPr>
          <w:p>
            <w:pPr>
              <w:autoSpaceDE/>
              <w:autoSpaceDN/>
              <w:snapToGrid w:val="0"/>
              <w:spacing w:line="240" w:lineRule="auto"/>
              <w:ind w:firstLine="0" w:firstLineChars="0"/>
              <w:jc w:val="center"/>
              <w:rPr>
                <w:rFonts w:ascii="仿宋_GB2312" w:hAnsi="仿宋_GB2312" w:eastAsia="仿宋_GB2312" w:cs="仿宋_GB2312"/>
                <w:sz w:val="24"/>
                <w:lang w:bidi="zh-CN"/>
              </w:rPr>
            </w:pPr>
            <w:r>
              <w:rPr>
                <w:rFonts w:hint="eastAsia" w:ascii="仿宋_GB2312" w:hAnsi="仿宋_GB2312" w:eastAsia="仿宋_GB2312" w:cs="仿宋_GB2312"/>
                <w:sz w:val="24"/>
                <w:lang w:val="zh-CN" w:bidi="zh-CN"/>
              </w:rPr>
              <w:t>地形对土地利用无不良影响</w:t>
            </w:r>
          </w:p>
        </w:tc>
        <w:tc>
          <w:tcPr>
            <w:tcW w:w="1296" w:type="dxa"/>
            <w:tcBorders>
              <w:top w:val="single" w:color="auto" w:sz="4" w:space="0"/>
              <w:left w:val="single" w:color="auto" w:sz="4" w:space="0"/>
              <w:bottom w:val="single" w:color="auto" w:sz="4" w:space="0"/>
              <w:right w:val="single" w:color="auto" w:sz="4" w:space="0"/>
            </w:tcBorders>
            <w:vAlign w:val="center"/>
          </w:tcPr>
          <w:p>
            <w:pPr>
              <w:autoSpaceDE/>
              <w:autoSpaceDN/>
              <w:snapToGrid w:val="0"/>
              <w:spacing w:line="240" w:lineRule="auto"/>
              <w:ind w:firstLine="0" w:firstLineChars="0"/>
              <w:jc w:val="center"/>
              <w:rPr>
                <w:rFonts w:ascii="仿宋_GB2312" w:hAnsi="仿宋_GB2312" w:eastAsia="仿宋_GB2312" w:cs="仿宋_GB2312"/>
                <w:sz w:val="24"/>
                <w:lang w:bidi="zh-CN"/>
              </w:rPr>
            </w:pPr>
            <w:r>
              <w:rPr>
                <w:rFonts w:hint="eastAsia" w:ascii="仿宋_GB2312" w:hAnsi="仿宋_GB2312" w:eastAsia="仿宋_GB2312" w:cs="仿宋_GB2312"/>
                <w:sz w:val="24"/>
                <w:lang w:val="zh-CN" w:bidi="zh-CN"/>
              </w:rPr>
              <w:t>有一定地形坡度和起伏，对土地利用有一定影响</w:t>
            </w:r>
          </w:p>
        </w:tc>
        <w:tc>
          <w:tcPr>
            <w:tcW w:w="1300" w:type="dxa"/>
            <w:tcBorders>
              <w:top w:val="single" w:color="auto" w:sz="4" w:space="0"/>
              <w:left w:val="single" w:color="auto" w:sz="4" w:space="0"/>
              <w:bottom w:val="single" w:color="auto" w:sz="4" w:space="0"/>
              <w:right w:val="single" w:color="auto" w:sz="4" w:space="0"/>
            </w:tcBorders>
            <w:vAlign w:val="center"/>
          </w:tcPr>
          <w:p>
            <w:pPr>
              <w:autoSpaceDE/>
              <w:autoSpaceDN/>
              <w:snapToGrid w:val="0"/>
              <w:spacing w:line="240" w:lineRule="auto"/>
              <w:ind w:firstLine="0" w:firstLineChars="0"/>
              <w:jc w:val="center"/>
              <w:rPr>
                <w:rFonts w:ascii="仿宋_GB2312" w:hAnsi="仿宋_GB2312" w:eastAsia="仿宋_GB2312" w:cs="仿宋_GB2312"/>
                <w:sz w:val="24"/>
                <w:lang w:bidi="zh-CN"/>
              </w:rPr>
            </w:pPr>
            <w:r>
              <w:rPr>
                <w:rFonts w:hint="eastAsia" w:ascii="仿宋_GB2312" w:hAnsi="仿宋_GB2312" w:eastAsia="仿宋_GB2312" w:cs="仿宋_GB2312"/>
                <w:sz w:val="24"/>
                <w:lang w:val="zh-CN" w:bidi="zh-CN"/>
              </w:rPr>
              <w:t>地形起伏、坡度较大，对土地利用产生严重影响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099" w:type="dxa"/>
            <w:vMerge w:val="continue"/>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z w:val="24"/>
              </w:rPr>
            </w:pPr>
          </w:p>
        </w:tc>
        <w:tc>
          <w:tcPr>
            <w:tcW w:w="1338" w:type="dxa"/>
            <w:tcBorders>
              <w:top w:val="single" w:color="auto" w:sz="4" w:space="0"/>
              <w:left w:val="single" w:color="auto" w:sz="4" w:space="0"/>
              <w:bottom w:val="single" w:color="auto" w:sz="4" w:space="0"/>
              <w:right w:val="single" w:color="auto" w:sz="4" w:space="0"/>
            </w:tcBorders>
            <w:vAlign w:val="center"/>
          </w:tcPr>
          <w:p>
            <w:pPr>
              <w:spacing w:before="72" w:after="72"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修正系数</w:t>
            </w:r>
          </w:p>
        </w:tc>
        <w:tc>
          <w:tcPr>
            <w:tcW w:w="1365"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lang w:val="en-US"/>
              </w:rPr>
              <w:t>2%</w:t>
            </w:r>
          </w:p>
        </w:tc>
        <w:tc>
          <w:tcPr>
            <w:tcW w:w="1365"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lang w:val="en-US"/>
              </w:rPr>
              <w:t>1%</w:t>
            </w:r>
          </w:p>
        </w:tc>
        <w:tc>
          <w:tcPr>
            <w:tcW w:w="1312"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lang w:val="en-US"/>
              </w:rPr>
              <w:t>0.00%</w:t>
            </w:r>
          </w:p>
        </w:tc>
        <w:tc>
          <w:tcPr>
            <w:tcW w:w="1296"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lang w:val="en-US"/>
              </w:rPr>
              <w:t>-1%</w:t>
            </w:r>
          </w:p>
        </w:tc>
        <w:tc>
          <w:tcPr>
            <w:tcW w:w="1300"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lang w:val="en-US"/>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099" w:type="dxa"/>
            <w:vMerge w:val="restart"/>
            <w:tcBorders>
              <w:top w:val="single" w:color="auto" w:sz="4" w:space="0"/>
              <w:left w:val="single" w:color="auto" w:sz="4" w:space="0"/>
              <w:bottom w:val="single" w:color="auto" w:sz="4" w:space="0"/>
              <w:right w:val="single" w:color="auto" w:sz="4" w:space="0"/>
            </w:tcBorders>
            <w:vAlign w:val="center"/>
          </w:tcPr>
          <w:p>
            <w:pPr>
              <w:spacing w:before="72" w:after="72"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地势</w:t>
            </w:r>
          </w:p>
        </w:tc>
        <w:tc>
          <w:tcPr>
            <w:tcW w:w="1338" w:type="dxa"/>
            <w:tcBorders>
              <w:top w:val="single" w:color="auto" w:sz="4" w:space="0"/>
              <w:left w:val="single" w:color="auto" w:sz="4" w:space="0"/>
              <w:bottom w:val="single" w:color="auto" w:sz="4" w:space="0"/>
              <w:right w:val="single" w:color="auto" w:sz="4" w:space="0"/>
            </w:tcBorders>
            <w:vAlign w:val="center"/>
          </w:tcPr>
          <w:p>
            <w:pPr>
              <w:spacing w:before="72" w:after="72"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指标说明</w:t>
            </w:r>
          </w:p>
        </w:tc>
        <w:tc>
          <w:tcPr>
            <w:tcW w:w="1365" w:type="dxa"/>
            <w:tcBorders>
              <w:top w:val="single" w:color="auto" w:sz="4" w:space="0"/>
              <w:left w:val="single" w:color="auto" w:sz="4" w:space="0"/>
              <w:bottom w:val="single" w:color="auto" w:sz="4" w:space="0"/>
              <w:right w:val="single" w:color="auto" w:sz="4" w:space="0"/>
            </w:tcBorders>
            <w:vAlign w:val="center"/>
          </w:tcPr>
          <w:p>
            <w:pPr>
              <w:autoSpaceDE/>
              <w:autoSpaceDN/>
              <w:snapToGrid w:val="0"/>
              <w:spacing w:line="240" w:lineRule="auto"/>
              <w:ind w:firstLine="0" w:firstLineChars="0"/>
              <w:jc w:val="center"/>
              <w:rPr>
                <w:rFonts w:ascii="仿宋_GB2312" w:hAnsi="仿宋_GB2312" w:eastAsia="仿宋_GB2312" w:cs="仿宋_GB2312"/>
                <w:sz w:val="24"/>
                <w:lang w:bidi="zh-CN"/>
              </w:rPr>
            </w:pPr>
            <w:r>
              <w:rPr>
                <w:rFonts w:hint="eastAsia" w:ascii="仿宋_GB2312" w:hAnsi="仿宋_GB2312" w:eastAsia="仿宋_GB2312" w:cs="仿宋_GB2312"/>
                <w:sz w:val="24"/>
                <w:lang w:val="zh-CN" w:bidi="zh-CN"/>
              </w:rPr>
              <w:t>地势较高，排水通风条件好，出入口设置仍然便利</w:t>
            </w:r>
          </w:p>
        </w:tc>
        <w:tc>
          <w:tcPr>
            <w:tcW w:w="1365" w:type="dxa"/>
            <w:tcBorders>
              <w:top w:val="single" w:color="auto" w:sz="4" w:space="0"/>
              <w:left w:val="single" w:color="auto" w:sz="4" w:space="0"/>
              <w:bottom w:val="single" w:color="auto" w:sz="4" w:space="0"/>
              <w:right w:val="single" w:color="auto" w:sz="4" w:space="0"/>
            </w:tcBorders>
            <w:vAlign w:val="center"/>
          </w:tcPr>
          <w:p>
            <w:pPr>
              <w:autoSpaceDE/>
              <w:autoSpaceDN/>
              <w:snapToGrid w:val="0"/>
              <w:spacing w:line="240" w:lineRule="auto"/>
              <w:ind w:firstLine="0" w:firstLineChars="0"/>
              <w:jc w:val="center"/>
              <w:rPr>
                <w:rFonts w:ascii="仿宋_GB2312" w:hAnsi="仿宋_GB2312" w:eastAsia="仿宋_GB2312" w:cs="仿宋_GB2312"/>
                <w:sz w:val="24"/>
                <w:lang w:bidi="zh-CN"/>
              </w:rPr>
            </w:pPr>
            <w:r>
              <w:rPr>
                <w:rFonts w:hint="eastAsia" w:ascii="仿宋_GB2312" w:hAnsi="仿宋_GB2312" w:eastAsia="仿宋_GB2312" w:cs="仿宋_GB2312"/>
                <w:sz w:val="24"/>
                <w:lang w:val="zh-CN" w:bidi="zh-CN"/>
              </w:rPr>
              <w:t>地势一般，通风排水条件一般，不影响出入口设置</w:t>
            </w:r>
          </w:p>
        </w:tc>
        <w:tc>
          <w:tcPr>
            <w:tcW w:w="1312" w:type="dxa"/>
            <w:tcBorders>
              <w:top w:val="single" w:color="auto" w:sz="4" w:space="0"/>
              <w:left w:val="single" w:color="auto" w:sz="4" w:space="0"/>
              <w:bottom w:val="single" w:color="auto" w:sz="4" w:space="0"/>
              <w:right w:val="single" w:color="auto" w:sz="4" w:space="0"/>
            </w:tcBorders>
            <w:vAlign w:val="center"/>
          </w:tcPr>
          <w:p>
            <w:pPr>
              <w:autoSpaceDE/>
              <w:autoSpaceDN/>
              <w:snapToGrid w:val="0"/>
              <w:spacing w:line="240" w:lineRule="auto"/>
              <w:ind w:firstLine="0" w:firstLineChars="0"/>
              <w:jc w:val="center"/>
              <w:rPr>
                <w:rFonts w:ascii="仿宋_GB2312" w:hAnsi="仿宋_GB2312" w:eastAsia="仿宋_GB2312" w:cs="仿宋_GB2312"/>
                <w:sz w:val="24"/>
                <w:lang w:bidi="zh-CN"/>
              </w:rPr>
            </w:pPr>
            <w:r>
              <w:rPr>
                <w:rFonts w:hint="eastAsia" w:ascii="仿宋_GB2312" w:hAnsi="仿宋_GB2312" w:eastAsia="仿宋_GB2312" w:cs="仿宋_GB2312"/>
                <w:sz w:val="24"/>
                <w:lang w:val="zh-CN" w:bidi="zh-CN"/>
              </w:rPr>
              <w:t>地势一般，排水通风条件一般</w:t>
            </w:r>
          </w:p>
        </w:tc>
        <w:tc>
          <w:tcPr>
            <w:tcW w:w="1296" w:type="dxa"/>
            <w:tcBorders>
              <w:top w:val="single" w:color="auto" w:sz="4" w:space="0"/>
              <w:left w:val="single" w:color="auto" w:sz="4" w:space="0"/>
              <w:bottom w:val="single" w:color="auto" w:sz="4" w:space="0"/>
              <w:right w:val="single" w:color="auto" w:sz="4" w:space="0"/>
            </w:tcBorders>
            <w:vAlign w:val="center"/>
          </w:tcPr>
          <w:p>
            <w:pPr>
              <w:autoSpaceDE/>
              <w:autoSpaceDN/>
              <w:snapToGrid w:val="0"/>
              <w:spacing w:line="240" w:lineRule="auto"/>
              <w:ind w:firstLine="0" w:firstLineChars="0"/>
              <w:jc w:val="center"/>
              <w:rPr>
                <w:rFonts w:ascii="仿宋_GB2312" w:hAnsi="仿宋_GB2312" w:eastAsia="仿宋_GB2312" w:cs="仿宋_GB2312"/>
                <w:sz w:val="24"/>
                <w:lang w:bidi="zh-CN"/>
              </w:rPr>
            </w:pPr>
            <w:r>
              <w:rPr>
                <w:rFonts w:hint="eastAsia" w:ascii="仿宋_GB2312" w:hAnsi="仿宋_GB2312" w:eastAsia="仿宋_GB2312" w:cs="仿宋_GB2312"/>
                <w:sz w:val="24"/>
                <w:lang w:val="zh-CN" w:bidi="zh-CN"/>
              </w:rPr>
              <w:t>地势偏高，对出入通道设置有一定影响</w:t>
            </w:r>
          </w:p>
        </w:tc>
        <w:tc>
          <w:tcPr>
            <w:tcW w:w="1300" w:type="dxa"/>
            <w:tcBorders>
              <w:top w:val="single" w:color="auto" w:sz="4" w:space="0"/>
              <w:left w:val="single" w:color="auto" w:sz="4" w:space="0"/>
              <w:bottom w:val="single" w:color="auto" w:sz="4" w:space="0"/>
              <w:right w:val="single" w:color="auto" w:sz="4" w:space="0"/>
            </w:tcBorders>
            <w:vAlign w:val="center"/>
          </w:tcPr>
          <w:p>
            <w:pPr>
              <w:autoSpaceDE/>
              <w:autoSpaceDN/>
              <w:snapToGrid w:val="0"/>
              <w:spacing w:line="240" w:lineRule="auto"/>
              <w:ind w:firstLine="0" w:firstLineChars="0"/>
              <w:jc w:val="center"/>
              <w:rPr>
                <w:rFonts w:ascii="仿宋_GB2312" w:hAnsi="仿宋_GB2312" w:eastAsia="仿宋_GB2312" w:cs="仿宋_GB2312"/>
                <w:sz w:val="24"/>
                <w:lang w:bidi="zh-CN"/>
              </w:rPr>
            </w:pPr>
            <w:r>
              <w:rPr>
                <w:rFonts w:hint="eastAsia" w:ascii="仿宋_GB2312" w:hAnsi="仿宋_GB2312" w:eastAsia="仿宋_GB2312" w:cs="仿宋_GB2312"/>
                <w:sz w:val="24"/>
                <w:lang w:val="zh-CN" w:bidi="zh-CN"/>
              </w:rPr>
              <w:t>地势偏低，不利于通风排水和出入口设置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099" w:type="dxa"/>
            <w:vMerge w:val="continue"/>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z w:val="24"/>
              </w:rPr>
            </w:pPr>
          </w:p>
        </w:tc>
        <w:tc>
          <w:tcPr>
            <w:tcW w:w="1338" w:type="dxa"/>
            <w:tcBorders>
              <w:top w:val="single" w:color="auto" w:sz="4" w:space="0"/>
              <w:left w:val="single" w:color="auto" w:sz="4" w:space="0"/>
              <w:bottom w:val="single" w:color="auto" w:sz="4" w:space="0"/>
              <w:right w:val="single" w:color="auto" w:sz="4" w:space="0"/>
            </w:tcBorders>
            <w:vAlign w:val="center"/>
          </w:tcPr>
          <w:p>
            <w:pPr>
              <w:spacing w:before="72" w:after="72"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修正系数</w:t>
            </w:r>
          </w:p>
        </w:tc>
        <w:tc>
          <w:tcPr>
            <w:tcW w:w="1365"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napToGrid w:val="0"/>
                <w:kern w:val="0"/>
                <w:sz w:val="24"/>
                <w:lang w:val="en-US" w:bidi="ar-SA"/>
              </w:rPr>
            </w:pPr>
            <w:r>
              <w:rPr>
                <w:rFonts w:hint="eastAsia" w:ascii="仿宋_GB2312" w:hAnsi="仿宋_GB2312" w:eastAsia="仿宋_GB2312" w:cs="仿宋_GB2312"/>
                <w:sz w:val="24"/>
                <w:lang w:val="en-US"/>
              </w:rPr>
              <w:t>2%</w:t>
            </w:r>
          </w:p>
        </w:tc>
        <w:tc>
          <w:tcPr>
            <w:tcW w:w="1365"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napToGrid w:val="0"/>
                <w:kern w:val="0"/>
                <w:sz w:val="24"/>
                <w:lang w:val="en-US" w:bidi="ar-SA"/>
              </w:rPr>
            </w:pPr>
            <w:r>
              <w:rPr>
                <w:rFonts w:hint="eastAsia" w:ascii="仿宋_GB2312" w:hAnsi="仿宋_GB2312" w:eastAsia="仿宋_GB2312" w:cs="仿宋_GB2312"/>
                <w:sz w:val="24"/>
                <w:lang w:val="en-US"/>
              </w:rPr>
              <w:t>1%</w:t>
            </w:r>
          </w:p>
        </w:tc>
        <w:tc>
          <w:tcPr>
            <w:tcW w:w="1312"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napToGrid w:val="0"/>
                <w:kern w:val="0"/>
                <w:sz w:val="24"/>
                <w:lang w:val="en-US" w:bidi="ar-SA"/>
              </w:rPr>
            </w:pPr>
            <w:r>
              <w:rPr>
                <w:rFonts w:hint="eastAsia" w:ascii="仿宋_GB2312" w:hAnsi="仿宋_GB2312" w:eastAsia="仿宋_GB2312" w:cs="仿宋_GB2312"/>
                <w:sz w:val="24"/>
                <w:lang w:val="en-US"/>
              </w:rPr>
              <w:t>0.00%</w:t>
            </w:r>
          </w:p>
        </w:tc>
        <w:tc>
          <w:tcPr>
            <w:tcW w:w="1296"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napToGrid w:val="0"/>
                <w:kern w:val="0"/>
                <w:sz w:val="24"/>
                <w:lang w:val="en-US" w:bidi="ar-SA"/>
              </w:rPr>
            </w:pPr>
            <w:r>
              <w:rPr>
                <w:rFonts w:hint="eastAsia" w:ascii="仿宋_GB2312" w:hAnsi="仿宋_GB2312" w:eastAsia="仿宋_GB2312" w:cs="仿宋_GB2312"/>
                <w:sz w:val="24"/>
                <w:lang w:val="en-US"/>
              </w:rPr>
              <w:t>-1%</w:t>
            </w:r>
          </w:p>
        </w:tc>
        <w:tc>
          <w:tcPr>
            <w:tcW w:w="1300" w:type="dxa"/>
            <w:tcBorders>
              <w:top w:val="single" w:color="auto" w:sz="4" w:space="0"/>
              <w:left w:val="single" w:color="auto" w:sz="4" w:space="0"/>
              <w:bottom w:val="single" w:color="auto" w:sz="4" w:space="0"/>
              <w:right w:val="single" w:color="auto" w:sz="4" w:space="0"/>
            </w:tcBorders>
            <w:vAlign w:val="center"/>
          </w:tcPr>
          <w:p>
            <w:pPr>
              <w:pStyle w:val="113"/>
              <w:spacing w:line="240" w:lineRule="auto"/>
              <w:ind w:firstLine="0" w:firstLineChars="0"/>
              <w:rPr>
                <w:rFonts w:ascii="仿宋_GB2312" w:hAnsi="仿宋_GB2312" w:eastAsia="仿宋_GB2312" w:cs="仿宋_GB2312"/>
                <w:snapToGrid w:val="0"/>
                <w:kern w:val="0"/>
                <w:sz w:val="24"/>
                <w:lang w:val="en-US" w:bidi="ar-SA"/>
              </w:rPr>
            </w:pPr>
            <w:r>
              <w:rPr>
                <w:rFonts w:hint="eastAsia" w:ascii="仿宋_GB2312" w:hAnsi="仿宋_GB2312" w:eastAsia="仿宋_GB2312" w:cs="仿宋_GB2312"/>
                <w:sz w:val="24"/>
                <w:lang w:val="en-US"/>
              </w:rPr>
              <w:t>-2%</w:t>
            </w:r>
          </w:p>
        </w:tc>
      </w:tr>
    </w:tbl>
    <w:p>
      <w:pPr>
        <w:numPr>
          <w:ilvl w:val="0"/>
          <w:numId w:val="4"/>
        </w:numPr>
        <w:tabs>
          <w:tab w:val="left" w:pos="0"/>
        </w:tabs>
        <w:spacing w:before="72" w:after="72"/>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土地剩余使用年期修正</w:t>
      </w:r>
      <w:bookmarkEnd w:id="86"/>
      <w:bookmarkEnd w:id="87"/>
      <w:bookmarkEnd w:id="88"/>
      <w:bookmarkEnd w:id="89"/>
      <w:bookmarkEnd w:id="90"/>
    </w:p>
    <w:p>
      <w:pPr>
        <w:adjustRightInd w:val="0"/>
        <w:spacing w:line="600" w:lineRule="exact"/>
        <w:ind w:firstLine="620"/>
        <w:rPr>
          <w:rFonts w:ascii="仿宋_GB2312" w:hAnsi="仿宋_GB2312" w:eastAsia="仿宋_GB2312" w:cs="仿宋_GB2312"/>
          <w:spacing w:val="-5"/>
          <w:kern w:val="0"/>
          <w:sz w:val="32"/>
          <w:szCs w:val="32"/>
        </w:rPr>
      </w:pPr>
      <w:bookmarkStart w:id="91" w:name="_Toc435109092"/>
      <w:bookmarkStart w:id="92" w:name="_Toc435192446"/>
      <w:bookmarkStart w:id="93" w:name="_Toc435108590"/>
      <w:bookmarkStart w:id="94" w:name="_Toc435179428"/>
      <w:bookmarkStart w:id="95" w:name="_Toc435438844"/>
      <w:r>
        <w:rPr>
          <w:rFonts w:hint="eastAsia" w:ascii="仿宋_GB2312" w:hAnsi="仿宋_GB2312" w:eastAsia="仿宋_GB2312" w:cs="仿宋_GB2312"/>
          <w:spacing w:val="-5"/>
          <w:kern w:val="0"/>
          <w:sz w:val="32"/>
          <w:szCs w:val="32"/>
        </w:rPr>
        <w:t>土地剩余使用年期修正公式为：</w:t>
      </w:r>
    </w:p>
    <w:p>
      <w:pPr>
        <w:spacing w:line="240" w:lineRule="auto"/>
        <w:ind w:firstLine="0" w:firstLineChars="0"/>
        <w:jc w:val="center"/>
        <w:rPr>
          <w:rFonts w:cs="仿宋"/>
          <w:position w:val="-36"/>
        </w:rPr>
      </w:pPr>
      <w:r>
        <w:rPr>
          <w:rFonts w:hint="eastAsia" w:cs="仿宋"/>
          <w:position w:val="-36"/>
        </w:rPr>
        <w:object>
          <v:shape id="_x0000_i1035" o:spt="75" type="#_x0000_t75" style="height:41.9pt;width:165.5pt;" o:ole="t" filled="f" o:preferrelative="t" stroked="f" coordsize="21600,21600">
            <v:path/>
            <v:fill on="f" focussize="0,0"/>
            <v:stroke on="f" joinstyle="miter"/>
            <v:imagedata r:id="rId35" o:title=""/>
            <o:lock v:ext="edit" aspectratio="t"/>
            <w10:wrap type="none"/>
            <w10:anchorlock/>
          </v:shape>
          <o:OLEObject Type="Embed" ProgID="Equation.3" ShapeID="_x0000_i1035" DrawAspect="Content" ObjectID="_1468075735" r:id="rId34">
            <o:LockedField>false</o:LockedField>
          </o:OLEObject>
        </w:object>
      </w:r>
    </w:p>
    <w:p>
      <w:pPr>
        <w:rPr>
          <w:rFonts w:ascii="仿宋_GB2312" w:hAnsi="仿宋_GB2312" w:eastAsia="仿宋_GB2312" w:cs="仿宋_GB2312"/>
          <w:sz w:val="24"/>
        </w:rPr>
      </w:pPr>
      <w:r>
        <w:rPr>
          <w:rFonts w:hint="eastAsia" w:ascii="仿宋_GB2312" w:hAnsi="仿宋_GB2312" w:eastAsia="仿宋_GB2312" w:cs="仿宋_GB2312"/>
          <w:sz w:val="24"/>
        </w:rPr>
        <w:t>式中：</w:t>
      </w:r>
      <w:r>
        <w:rPr>
          <w:rFonts w:hint="eastAsia" w:ascii="仿宋_GB2312" w:hAnsi="仿宋_GB2312" w:eastAsia="仿宋_GB2312" w:cs="仿宋_GB2312"/>
          <w:position w:val="-4"/>
          <w:sz w:val="24"/>
        </w:rPr>
        <w:object>
          <v:shape id="_x0000_i1036" o:spt="75" type="#_x0000_t75" style="height:9.65pt;width:8.6pt;" o:ole="t" filled="f" o:preferrelative="t" stroked="f" coordsize="21600,21600">
            <v:path/>
            <v:fill on="f" focussize="0,0"/>
            <v:stroke on="f" joinstyle="miter"/>
            <v:imagedata r:id="rId37" o:title=""/>
            <o:lock v:ext="edit" aspectratio="t"/>
            <w10:wrap type="none"/>
            <w10:anchorlock/>
          </v:shape>
          <o:OLEObject Type="Embed" ProgID="Equation.3" ShapeID="_x0000_i1036" DrawAspect="Content" ObjectID="_1468075736" r:id="rId36">
            <o:LockedField>false</o:LockedField>
          </o:OLEObject>
        </w:object>
      </w:r>
      <w:r>
        <w:rPr>
          <w:rFonts w:hint="eastAsia" w:ascii="仿宋_GB2312" w:hAnsi="仿宋_GB2312" w:eastAsia="仿宋_GB2312" w:cs="仿宋_GB2312"/>
          <w:sz w:val="24"/>
        </w:rPr>
        <w:t>——土地还原率；</w:t>
      </w:r>
      <w:r>
        <w:rPr>
          <w:rFonts w:hint="eastAsia" w:ascii="仿宋_GB2312" w:hAnsi="仿宋_GB2312" w:eastAsia="仿宋_GB2312" w:cs="仿宋_GB2312"/>
          <w:position w:val="-6"/>
          <w:sz w:val="24"/>
        </w:rPr>
        <w:object>
          <v:shape id="_x0000_i1037" o:spt="75" type="#_x0000_t75" style="height:10.75pt;width:12.9pt;" o:ole="t" filled="f" o:preferrelative="t" stroked="f" coordsize="21600,21600">
            <v:path/>
            <v:fill on="f" focussize="0,0"/>
            <v:stroke on="f" joinstyle="miter"/>
            <v:imagedata r:id="rId39" o:title=""/>
            <o:lock v:ext="edit" aspectratio="t"/>
            <w10:wrap type="none"/>
            <w10:anchorlock/>
          </v:shape>
          <o:OLEObject Type="Embed" ProgID="Equation.3" ShapeID="_x0000_i1037" DrawAspect="Content" ObjectID="_1468075737" r:id="rId38">
            <o:LockedField>false</o:LockedField>
          </o:OLEObject>
        </w:object>
      </w:r>
      <w:r>
        <w:rPr>
          <w:rFonts w:hint="eastAsia" w:ascii="仿宋_GB2312" w:hAnsi="仿宋_GB2312" w:eastAsia="仿宋_GB2312" w:cs="仿宋_GB2312"/>
          <w:sz w:val="24"/>
        </w:rPr>
        <w:t>——土地使用权法定最高出让年限50年；</w:t>
      </w:r>
    </w:p>
    <w:p>
      <w:pPr>
        <w:ind w:firstLine="1200" w:firstLineChars="500"/>
        <w:rPr>
          <w:rFonts w:ascii="仿宋_GB2312" w:hAnsi="仿宋_GB2312" w:eastAsia="仿宋_GB2312" w:cs="仿宋_GB2312"/>
          <w:sz w:val="24"/>
        </w:rPr>
      </w:pPr>
      <w:r>
        <w:rPr>
          <w:rFonts w:hint="eastAsia" w:ascii="仿宋_GB2312" w:hAnsi="仿宋_GB2312" w:eastAsia="仿宋_GB2312" w:cs="仿宋_GB2312"/>
          <w:position w:val="-6"/>
          <w:sz w:val="24"/>
        </w:rPr>
        <w:object>
          <v:shape id="_x0000_i1038" o:spt="75" type="#_x0000_t75" style="height:10.75pt;width:9.65pt;" o:ole="t" filled="f" o:preferrelative="t" stroked="f" coordsize="21600,21600">
            <v:path/>
            <v:fill on="f" focussize="0,0"/>
            <v:stroke on="f" joinstyle="miter"/>
            <v:imagedata r:id="rId41" o:title=""/>
            <o:lock v:ext="edit" aspectratio="t"/>
            <w10:wrap type="none"/>
            <w10:anchorlock/>
          </v:shape>
          <o:OLEObject Type="Embed" ProgID="Equation.3" ShapeID="_x0000_i1038" DrawAspect="Content" ObjectID="_1468075738" r:id="rId40">
            <o:LockedField>false</o:LockedField>
          </o:OLEObject>
        </w:object>
      </w:r>
      <w:r>
        <w:rPr>
          <w:rFonts w:hint="eastAsia" w:ascii="仿宋_GB2312" w:hAnsi="仿宋_GB2312" w:eastAsia="仿宋_GB2312" w:cs="仿宋_GB2312"/>
          <w:sz w:val="24"/>
        </w:rPr>
        <w:t>——土地剩余使用年期；</w:t>
      </w:r>
      <w:r>
        <w:rPr>
          <w:rFonts w:hint="eastAsia" w:ascii="仿宋_GB2312" w:hAnsi="仿宋_GB2312" w:eastAsia="仿宋_GB2312" w:cs="仿宋_GB2312"/>
          <w:position w:val="-4"/>
          <w:sz w:val="24"/>
        </w:rPr>
        <w:object>
          <v:shape id="_x0000_i1039" o:spt="75" type="#_x0000_t75" style="height:12.9pt;width:10.75pt;" o:ole="t" filled="f" o:preferrelative="t" stroked="f" coordsize="21600,21600">
            <v:path/>
            <v:fill on="f" focussize="0,0"/>
            <v:stroke on="f" joinstyle="miter"/>
            <v:imagedata r:id="rId43" o:title=""/>
            <o:lock v:ext="edit" aspectratio="t"/>
            <w10:wrap type="none"/>
            <w10:anchorlock/>
          </v:shape>
          <o:OLEObject Type="Embed" ProgID="Equation.3" ShapeID="_x0000_i1039" DrawAspect="Content" ObjectID="_1468075739" r:id="rId42">
            <o:LockedField>false</o:LockedField>
          </o:OLEObject>
        </w:object>
      </w:r>
      <w:r>
        <w:rPr>
          <w:rFonts w:hint="eastAsia" w:ascii="仿宋_GB2312" w:hAnsi="仿宋_GB2312" w:eastAsia="仿宋_GB2312" w:cs="仿宋_GB2312"/>
          <w:sz w:val="24"/>
        </w:rPr>
        <w:t>——土地剩余使用年期修正系数</w:t>
      </w: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城区工业用地使用年期修正系数表(土地还原率为4.8%)</w:t>
      </w:r>
    </w:p>
    <w:tbl>
      <w:tblPr>
        <w:tblStyle w:val="47"/>
        <w:tblW w:w="9277" w:type="dxa"/>
        <w:jc w:val="center"/>
        <w:tblInd w:w="0" w:type="dxa"/>
        <w:tblLayout w:type="fixed"/>
        <w:tblCellMar>
          <w:top w:w="0" w:type="dxa"/>
          <w:left w:w="108" w:type="dxa"/>
          <w:bottom w:w="0" w:type="dxa"/>
          <w:right w:w="108" w:type="dxa"/>
        </w:tblCellMar>
      </w:tblPr>
      <w:tblGrid>
        <w:gridCol w:w="1265"/>
        <w:gridCol w:w="801"/>
        <w:gridCol w:w="801"/>
        <w:gridCol w:w="801"/>
        <w:gridCol w:w="801"/>
        <w:gridCol w:w="801"/>
        <w:gridCol w:w="801"/>
        <w:gridCol w:w="801"/>
        <w:gridCol w:w="801"/>
        <w:gridCol w:w="801"/>
        <w:gridCol w:w="803"/>
      </w:tblGrid>
      <w:tr>
        <w:tblPrEx>
          <w:tblLayout w:type="fixed"/>
          <w:tblCellMar>
            <w:top w:w="0" w:type="dxa"/>
            <w:left w:w="108" w:type="dxa"/>
            <w:bottom w:w="0" w:type="dxa"/>
            <w:right w:w="108" w:type="dxa"/>
          </w:tblCellMar>
        </w:tblPrEx>
        <w:trPr>
          <w:trHeight w:val="397" w:hRule="atLeast"/>
          <w:jc w:val="center"/>
        </w:trPr>
        <w:tc>
          <w:tcPr>
            <w:tcW w:w="126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top"/>
              <w:rPr>
                <w:rFonts w:ascii="仿宋_GB2312" w:hAnsi="仿宋_GB2312" w:eastAsia="仿宋_GB2312" w:cs="仿宋_GB2312"/>
                <w:sz w:val="24"/>
              </w:rPr>
            </w:pPr>
            <w:r>
              <w:rPr>
                <w:rFonts w:hint="eastAsia" w:ascii="仿宋_GB2312" w:hAnsi="仿宋_GB2312" w:eastAsia="仿宋_GB2312" w:cs="仿宋_GB2312"/>
                <w:kern w:val="0"/>
                <w:sz w:val="24"/>
              </w:rPr>
              <w:t>剩余年期</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5</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6</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7</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8</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9</w:t>
            </w:r>
          </w:p>
        </w:tc>
        <w:tc>
          <w:tcPr>
            <w:tcW w:w="803"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10</w:t>
            </w:r>
          </w:p>
        </w:tc>
      </w:tr>
      <w:tr>
        <w:tblPrEx>
          <w:tblLayout w:type="fixed"/>
          <w:tblCellMar>
            <w:top w:w="0" w:type="dxa"/>
            <w:left w:w="108" w:type="dxa"/>
            <w:bottom w:w="0" w:type="dxa"/>
            <w:right w:w="108" w:type="dxa"/>
          </w:tblCellMar>
        </w:tblPrEx>
        <w:trPr>
          <w:trHeight w:val="397" w:hRule="atLeast"/>
          <w:jc w:val="center"/>
        </w:trPr>
        <w:tc>
          <w:tcPr>
            <w:tcW w:w="126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top"/>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0.0507</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0.099</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0.1451</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0.1891</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0.2311</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0.2712</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0.3095</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0.3459</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0.3808</w:t>
            </w:r>
          </w:p>
        </w:tc>
        <w:tc>
          <w:tcPr>
            <w:tcW w:w="803"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0.414</w:t>
            </w:r>
          </w:p>
        </w:tc>
      </w:tr>
      <w:tr>
        <w:tblPrEx>
          <w:tblLayout w:type="fixed"/>
          <w:tblCellMar>
            <w:top w:w="0" w:type="dxa"/>
            <w:left w:w="108" w:type="dxa"/>
            <w:bottom w:w="0" w:type="dxa"/>
            <w:right w:w="108" w:type="dxa"/>
          </w:tblCellMar>
        </w:tblPrEx>
        <w:trPr>
          <w:trHeight w:val="397" w:hRule="atLeast"/>
          <w:jc w:val="center"/>
        </w:trPr>
        <w:tc>
          <w:tcPr>
            <w:tcW w:w="126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top"/>
              <w:rPr>
                <w:rFonts w:ascii="仿宋_GB2312" w:hAnsi="仿宋_GB2312" w:eastAsia="仿宋_GB2312" w:cs="仿宋_GB2312"/>
                <w:sz w:val="24"/>
              </w:rPr>
            </w:pPr>
            <w:r>
              <w:rPr>
                <w:rFonts w:hint="eastAsia" w:ascii="仿宋_GB2312" w:hAnsi="仿宋_GB2312" w:eastAsia="仿宋_GB2312" w:cs="仿宋_GB2312"/>
                <w:kern w:val="0"/>
                <w:sz w:val="24"/>
              </w:rPr>
              <w:t>剩余年期</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11</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12</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13</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14</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15</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16</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17</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18</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19</w:t>
            </w:r>
          </w:p>
        </w:tc>
        <w:tc>
          <w:tcPr>
            <w:tcW w:w="803"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20</w:t>
            </w:r>
          </w:p>
        </w:tc>
      </w:tr>
      <w:tr>
        <w:tblPrEx>
          <w:tblLayout w:type="fixed"/>
          <w:tblCellMar>
            <w:top w:w="0" w:type="dxa"/>
            <w:left w:w="108" w:type="dxa"/>
            <w:bottom w:w="0" w:type="dxa"/>
            <w:right w:w="108" w:type="dxa"/>
          </w:tblCellMar>
        </w:tblPrEx>
        <w:trPr>
          <w:trHeight w:val="397" w:hRule="atLeast"/>
          <w:jc w:val="center"/>
        </w:trPr>
        <w:tc>
          <w:tcPr>
            <w:tcW w:w="126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top"/>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0.4457</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0.4759</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0.5048</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0.5323</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0.5586</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0.5837</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0.6076</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0.6304</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0.6522</w:t>
            </w:r>
          </w:p>
        </w:tc>
        <w:tc>
          <w:tcPr>
            <w:tcW w:w="803"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0.673</w:t>
            </w:r>
          </w:p>
        </w:tc>
      </w:tr>
      <w:tr>
        <w:tblPrEx>
          <w:tblLayout w:type="fixed"/>
          <w:tblCellMar>
            <w:top w:w="0" w:type="dxa"/>
            <w:left w:w="108" w:type="dxa"/>
            <w:bottom w:w="0" w:type="dxa"/>
            <w:right w:w="108" w:type="dxa"/>
          </w:tblCellMar>
        </w:tblPrEx>
        <w:trPr>
          <w:trHeight w:val="397" w:hRule="atLeast"/>
          <w:jc w:val="center"/>
        </w:trPr>
        <w:tc>
          <w:tcPr>
            <w:tcW w:w="126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top"/>
              <w:rPr>
                <w:rFonts w:ascii="仿宋_GB2312" w:hAnsi="仿宋_GB2312" w:eastAsia="仿宋_GB2312" w:cs="仿宋_GB2312"/>
                <w:sz w:val="24"/>
              </w:rPr>
            </w:pPr>
            <w:r>
              <w:rPr>
                <w:rFonts w:hint="eastAsia" w:ascii="仿宋_GB2312" w:hAnsi="仿宋_GB2312" w:eastAsia="仿宋_GB2312" w:cs="仿宋_GB2312"/>
                <w:kern w:val="0"/>
                <w:sz w:val="24"/>
              </w:rPr>
              <w:t>剩余年期</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21</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22</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23</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24</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25</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26</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27</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28</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29</w:t>
            </w:r>
          </w:p>
        </w:tc>
        <w:tc>
          <w:tcPr>
            <w:tcW w:w="803"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30</w:t>
            </w:r>
          </w:p>
        </w:tc>
      </w:tr>
      <w:tr>
        <w:tblPrEx>
          <w:tblLayout w:type="fixed"/>
          <w:tblCellMar>
            <w:top w:w="0" w:type="dxa"/>
            <w:left w:w="108" w:type="dxa"/>
            <w:bottom w:w="0" w:type="dxa"/>
            <w:right w:w="108" w:type="dxa"/>
          </w:tblCellMar>
        </w:tblPrEx>
        <w:trPr>
          <w:trHeight w:val="397" w:hRule="atLeast"/>
          <w:jc w:val="center"/>
        </w:trPr>
        <w:tc>
          <w:tcPr>
            <w:tcW w:w="126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top"/>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0.6929</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0.7118</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0.7298</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0.7471</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0.7635</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0.7792</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0.7942</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0.8085</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0.8221</w:t>
            </w:r>
          </w:p>
        </w:tc>
        <w:tc>
          <w:tcPr>
            <w:tcW w:w="803"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0.8351</w:t>
            </w:r>
          </w:p>
        </w:tc>
      </w:tr>
      <w:tr>
        <w:tblPrEx>
          <w:tblLayout w:type="fixed"/>
          <w:tblCellMar>
            <w:top w:w="0" w:type="dxa"/>
            <w:left w:w="108" w:type="dxa"/>
            <w:bottom w:w="0" w:type="dxa"/>
            <w:right w:w="108" w:type="dxa"/>
          </w:tblCellMar>
        </w:tblPrEx>
        <w:trPr>
          <w:trHeight w:val="397" w:hRule="atLeast"/>
          <w:jc w:val="center"/>
        </w:trPr>
        <w:tc>
          <w:tcPr>
            <w:tcW w:w="126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top"/>
              <w:rPr>
                <w:rFonts w:ascii="仿宋_GB2312" w:hAnsi="仿宋_GB2312" w:eastAsia="仿宋_GB2312" w:cs="仿宋_GB2312"/>
                <w:sz w:val="24"/>
              </w:rPr>
            </w:pPr>
            <w:r>
              <w:rPr>
                <w:rFonts w:hint="eastAsia" w:ascii="仿宋_GB2312" w:hAnsi="仿宋_GB2312" w:eastAsia="仿宋_GB2312" w:cs="仿宋_GB2312"/>
                <w:kern w:val="0"/>
                <w:sz w:val="24"/>
              </w:rPr>
              <w:t>剩余年期</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31</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32</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33</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34</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35</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36</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37</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38</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39</w:t>
            </w:r>
          </w:p>
        </w:tc>
        <w:tc>
          <w:tcPr>
            <w:tcW w:w="803"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40</w:t>
            </w:r>
          </w:p>
        </w:tc>
      </w:tr>
      <w:tr>
        <w:tblPrEx>
          <w:tblLayout w:type="fixed"/>
          <w:tblCellMar>
            <w:top w:w="0" w:type="dxa"/>
            <w:left w:w="108" w:type="dxa"/>
            <w:bottom w:w="0" w:type="dxa"/>
            <w:right w:w="108" w:type="dxa"/>
          </w:tblCellMar>
        </w:tblPrEx>
        <w:trPr>
          <w:trHeight w:val="397" w:hRule="atLeast"/>
          <w:jc w:val="center"/>
        </w:trPr>
        <w:tc>
          <w:tcPr>
            <w:tcW w:w="126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top"/>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0.8475</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0.8594</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0.8707</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0.8815</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0.8917</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0.9016</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0.9109</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0.9199</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0.9284</w:t>
            </w:r>
          </w:p>
        </w:tc>
        <w:tc>
          <w:tcPr>
            <w:tcW w:w="803"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0.9365</w:t>
            </w:r>
          </w:p>
        </w:tc>
      </w:tr>
      <w:tr>
        <w:tblPrEx>
          <w:tblLayout w:type="fixed"/>
          <w:tblCellMar>
            <w:top w:w="0" w:type="dxa"/>
            <w:left w:w="108" w:type="dxa"/>
            <w:bottom w:w="0" w:type="dxa"/>
            <w:right w:w="108" w:type="dxa"/>
          </w:tblCellMar>
        </w:tblPrEx>
        <w:trPr>
          <w:trHeight w:val="397" w:hRule="atLeast"/>
          <w:jc w:val="center"/>
        </w:trPr>
        <w:tc>
          <w:tcPr>
            <w:tcW w:w="126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top"/>
              <w:rPr>
                <w:rFonts w:ascii="仿宋_GB2312" w:hAnsi="仿宋_GB2312" w:eastAsia="仿宋_GB2312" w:cs="仿宋_GB2312"/>
                <w:sz w:val="24"/>
              </w:rPr>
            </w:pPr>
            <w:r>
              <w:rPr>
                <w:rFonts w:hint="eastAsia" w:ascii="仿宋_GB2312" w:hAnsi="仿宋_GB2312" w:eastAsia="仿宋_GB2312" w:cs="仿宋_GB2312"/>
                <w:kern w:val="0"/>
                <w:sz w:val="24"/>
              </w:rPr>
              <w:t>剩余年期</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41</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42</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43</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44</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45</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46</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47</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48</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49</w:t>
            </w:r>
          </w:p>
        </w:tc>
        <w:tc>
          <w:tcPr>
            <w:tcW w:w="803"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50</w:t>
            </w:r>
          </w:p>
        </w:tc>
      </w:tr>
      <w:tr>
        <w:tblPrEx>
          <w:tblLayout w:type="fixed"/>
          <w:tblCellMar>
            <w:top w:w="0" w:type="dxa"/>
            <w:left w:w="108" w:type="dxa"/>
            <w:bottom w:w="0" w:type="dxa"/>
            <w:right w:w="108" w:type="dxa"/>
          </w:tblCellMar>
        </w:tblPrEx>
        <w:trPr>
          <w:trHeight w:val="397" w:hRule="atLeast"/>
          <w:jc w:val="center"/>
        </w:trPr>
        <w:tc>
          <w:tcPr>
            <w:tcW w:w="126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w w:val="90"/>
                <w:kern w:val="0"/>
                <w:sz w:val="24"/>
              </w:rPr>
            </w:pPr>
            <w:r>
              <w:rPr>
                <w:rFonts w:hint="eastAsia" w:ascii="仿宋_GB2312" w:hAnsi="仿宋_GB2312" w:eastAsia="仿宋_GB2312" w:cs="仿宋_GB2312"/>
                <w:kern w:val="0"/>
                <w:sz w:val="24"/>
              </w:rPr>
              <w:t>修正系数</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0.9443</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0.9517</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0.9588</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0.9655</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0.972</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0.9781</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0.984</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0.9896</w:t>
            </w:r>
          </w:p>
        </w:tc>
        <w:tc>
          <w:tcPr>
            <w:tcW w:w="80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0.9949</w:t>
            </w:r>
          </w:p>
        </w:tc>
        <w:tc>
          <w:tcPr>
            <w:tcW w:w="803"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w:t>
            </w:r>
          </w:p>
        </w:tc>
      </w:tr>
    </w:tbl>
    <w:p>
      <w:pPr>
        <w:adjustRightInd w:val="0"/>
        <w:snapToGrid w:val="0"/>
        <w:spacing w:before="72" w:after="72" w:line="240" w:lineRule="auto"/>
        <w:rPr>
          <w:rFonts w:ascii="仿宋_GB2312" w:hAnsi="仿宋_GB2312" w:eastAsia="仿宋_GB2312" w:cs="仿宋_GB2312"/>
          <w:sz w:val="24"/>
        </w:rPr>
      </w:pPr>
      <w:r>
        <w:rPr>
          <w:rFonts w:hint="eastAsia" w:ascii="仿宋_GB2312" w:hAnsi="仿宋_GB2312" w:eastAsia="仿宋_GB2312" w:cs="仿宋_GB2312"/>
          <w:sz w:val="24"/>
        </w:rPr>
        <w:t>注：根据《广东省人民政府关于印发广东省降低制造业企业成本支持实体经济发展若干政策措施（修订版）的通知》（粤府〔2018〕79号），工业用地出让最长年限为50年，根据企业意愿，对有弹性用地出让需求的工业企业实行弹性年期出让供地，按照出让年期与工业用地可出让最高年期的比值确定年期修正系数，对届满符合续期使用条件的，可采用协议出让方式续期。</w:t>
      </w:r>
    </w:p>
    <w:bookmarkEnd w:id="91"/>
    <w:bookmarkEnd w:id="92"/>
    <w:bookmarkEnd w:id="93"/>
    <w:bookmarkEnd w:id="94"/>
    <w:bookmarkEnd w:id="95"/>
    <w:p>
      <w:pPr>
        <w:numPr>
          <w:ilvl w:val="0"/>
          <w:numId w:val="4"/>
        </w:numPr>
        <w:tabs>
          <w:tab w:val="left" w:pos="0"/>
        </w:tabs>
        <w:spacing w:before="72" w:after="72"/>
        <w:ind w:firstLineChars="0"/>
        <w:rPr>
          <w:rFonts w:ascii="仿宋_GB2312" w:hAnsi="仿宋_GB2312" w:eastAsia="仿宋_GB2312" w:cs="仿宋_GB2312"/>
          <w:sz w:val="32"/>
          <w:szCs w:val="32"/>
        </w:rPr>
      </w:pPr>
      <w:bookmarkStart w:id="96" w:name="_Toc435438845"/>
      <w:bookmarkStart w:id="97" w:name="_Toc435179429"/>
      <w:bookmarkStart w:id="98" w:name="_Toc435109093"/>
      <w:bookmarkStart w:id="99" w:name="_Toc435108591"/>
      <w:bookmarkStart w:id="100" w:name="_Toc435192447"/>
      <w:r>
        <w:rPr>
          <w:rFonts w:hint="eastAsia" w:ascii="仿宋_GB2312" w:hAnsi="仿宋_GB2312" w:eastAsia="仿宋_GB2312" w:cs="仿宋_GB2312"/>
          <w:sz w:val="32"/>
          <w:szCs w:val="32"/>
        </w:rPr>
        <w:t>土地开发程度修正</w:t>
      </w:r>
      <w:bookmarkEnd w:id="96"/>
      <w:bookmarkEnd w:id="97"/>
      <w:bookmarkEnd w:id="98"/>
      <w:bookmarkEnd w:id="99"/>
      <w:bookmarkEnd w:id="100"/>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始兴城区工业用地基准地价为“五通一平（宗地红线外通路、通电、供水、排水、通讯，宗地红线内场地平整）”土地开发程度下的熟地价格。当运用基准地价法进行宗地评估时，若宗地未达到或超过基准地价设定开发程度时，应酌情扣除或增加相应开发费用。</w:t>
      </w: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土地开发程度修正值范围表（土地面积）</w:t>
      </w:r>
    </w:p>
    <w:tbl>
      <w:tblPr>
        <w:tblStyle w:val="47"/>
        <w:tblW w:w="9070"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498"/>
        <w:gridCol w:w="927"/>
        <w:gridCol w:w="1001"/>
        <w:gridCol w:w="938"/>
        <w:gridCol w:w="909"/>
        <w:gridCol w:w="909"/>
        <w:gridCol w:w="902"/>
        <w:gridCol w:w="934"/>
        <w:gridCol w:w="105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369" w:hRule="atLeast"/>
          <w:jc w:val="center"/>
        </w:trPr>
        <w:tc>
          <w:tcPr>
            <w:tcW w:w="1498" w:type="dxa"/>
            <w:vMerge w:val="restart"/>
            <w:tcBorders>
              <w:top w:val="single" w:color="auto" w:sz="4" w:space="0"/>
              <w:bottom w:val="single" w:color="auto" w:sz="4" w:space="0"/>
              <w:right w:val="single" w:color="000000"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土地开发程度</w:t>
            </w:r>
          </w:p>
        </w:tc>
        <w:tc>
          <w:tcPr>
            <w:tcW w:w="6520" w:type="dxa"/>
            <w:gridSpan w:val="7"/>
            <w:tcBorders>
              <w:top w:val="single" w:color="auto" w:sz="4" w:space="0"/>
              <w:left w:val="single" w:color="000000" w:sz="4" w:space="0"/>
              <w:bottom w:val="single" w:color="auto" w:sz="4" w:space="0"/>
              <w:right w:val="single" w:color="000000"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开发项目及成本（元/平方米）</w:t>
            </w:r>
          </w:p>
        </w:tc>
        <w:tc>
          <w:tcPr>
            <w:tcW w:w="1052" w:type="dxa"/>
            <w:tcBorders>
              <w:top w:val="single" w:color="auto" w:sz="4" w:space="0"/>
              <w:left w:val="single" w:color="000000" w:sz="4" w:space="0"/>
              <w:bottom w:val="single" w:color="auto"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544" w:hRule="atLeast"/>
          <w:jc w:val="center"/>
        </w:trPr>
        <w:tc>
          <w:tcPr>
            <w:tcW w:w="1498" w:type="dxa"/>
            <w:vMerge w:val="continue"/>
            <w:tcBorders>
              <w:top w:val="single" w:color="auto" w:sz="4" w:space="0"/>
              <w:bottom w:val="single" w:color="000000" w:sz="4" w:space="0"/>
              <w:right w:val="single" w:color="000000" w:sz="4" w:space="0"/>
            </w:tcBorders>
            <w:vAlign w:val="center"/>
          </w:tcPr>
          <w:p>
            <w:pPr>
              <w:spacing w:line="240" w:lineRule="auto"/>
              <w:ind w:firstLine="0" w:firstLineChars="0"/>
              <w:jc w:val="center"/>
              <w:rPr>
                <w:rFonts w:ascii="仿宋_GB2312" w:hAnsi="仿宋_GB2312" w:eastAsia="仿宋_GB2312" w:cs="仿宋_GB2312"/>
                <w:sz w:val="24"/>
              </w:rPr>
            </w:pPr>
          </w:p>
        </w:tc>
        <w:tc>
          <w:tcPr>
            <w:tcW w:w="927" w:type="dxa"/>
            <w:tcBorders>
              <w:top w:val="single" w:color="auto" w:sz="4" w:space="0"/>
              <w:left w:val="single" w:color="000000" w:sz="4" w:space="0"/>
              <w:bottom w:val="single" w:color="000000" w:sz="4" w:space="0"/>
              <w:right w:val="single" w:color="000000"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通上水</w:t>
            </w:r>
          </w:p>
        </w:tc>
        <w:tc>
          <w:tcPr>
            <w:tcW w:w="1001" w:type="dxa"/>
            <w:tcBorders>
              <w:top w:val="single" w:color="auto" w:sz="4" w:space="0"/>
              <w:left w:val="single" w:color="000000" w:sz="4" w:space="0"/>
              <w:bottom w:val="single" w:color="000000" w:sz="4" w:space="0"/>
              <w:right w:val="single" w:color="000000"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通下水</w:t>
            </w:r>
          </w:p>
        </w:tc>
        <w:tc>
          <w:tcPr>
            <w:tcW w:w="938" w:type="dxa"/>
            <w:tcBorders>
              <w:top w:val="single" w:color="auto" w:sz="4" w:space="0"/>
              <w:left w:val="single" w:color="000000" w:sz="4" w:space="0"/>
              <w:bottom w:val="single" w:color="000000" w:sz="4" w:space="0"/>
              <w:right w:val="single" w:color="000000"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通电</w:t>
            </w:r>
          </w:p>
        </w:tc>
        <w:tc>
          <w:tcPr>
            <w:tcW w:w="909" w:type="dxa"/>
            <w:tcBorders>
              <w:top w:val="single" w:color="auto" w:sz="4" w:space="0"/>
              <w:left w:val="single" w:color="000000" w:sz="4" w:space="0"/>
              <w:bottom w:val="single" w:color="000000" w:sz="4" w:space="0"/>
              <w:right w:val="single" w:color="000000"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通讯</w:t>
            </w:r>
          </w:p>
        </w:tc>
        <w:tc>
          <w:tcPr>
            <w:tcW w:w="909" w:type="dxa"/>
            <w:tcBorders>
              <w:top w:val="single" w:color="auto" w:sz="4" w:space="0"/>
              <w:left w:val="single" w:color="000000" w:sz="4" w:space="0"/>
              <w:bottom w:val="single" w:color="000000" w:sz="4" w:space="0"/>
              <w:right w:val="single" w:color="000000"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通路</w:t>
            </w:r>
          </w:p>
        </w:tc>
        <w:tc>
          <w:tcPr>
            <w:tcW w:w="902" w:type="dxa"/>
            <w:tcBorders>
              <w:top w:val="single" w:color="auto" w:sz="4" w:space="0"/>
              <w:left w:val="single" w:color="000000" w:sz="4" w:space="0"/>
              <w:bottom w:val="single" w:color="000000" w:sz="4" w:space="0"/>
              <w:right w:val="single" w:color="000000"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通气</w:t>
            </w:r>
          </w:p>
        </w:tc>
        <w:tc>
          <w:tcPr>
            <w:tcW w:w="934" w:type="dxa"/>
            <w:tcBorders>
              <w:top w:val="single" w:color="auto" w:sz="4" w:space="0"/>
              <w:left w:val="single" w:color="000000" w:sz="4" w:space="0"/>
              <w:bottom w:val="single" w:color="000000" w:sz="4" w:space="0"/>
              <w:right w:val="single" w:color="000000"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平整</w:t>
            </w:r>
          </w:p>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土地</w:t>
            </w:r>
          </w:p>
        </w:tc>
        <w:tc>
          <w:tcPr>
            <w:tcW w:w="1052" w:type="dxa"/>
            <w:tcBorders>
              <w:top w:val="single" w:color="auto" w:sz="4" w:space="0"/>
              <w:left w:val="single" w:color="000000" w:sz="4" w:space="0"/>
              <w:bottom w:val="single" w:color="000000"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元/平方米</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544" w:hRule="atLeast"/>
          <w:jc w:val="center"/>
        </w:trPr>
        <w:tc>
          <w:tcPr>
            <w:tcW w:w="1498" w:type="dxa"/>
            <w:tcBorders>
              <w:top w:val="single" w:color="000000" w:sz="4" w:space="0"/>
              <w:bottom w:val="single" w:color="000000" w:sz="4" w:space="0"/>
              <w:right w:val="single" w:color="000000"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数据</w:t>
            </w:r>
          </w:p>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统计范围</w:t>
            </w:r>
          </w:p>
        </w:tc>
        <w:tc>
          <w:tcPr>
            <w:tcW w:w="927" w:type="dxa"/>
            <w:tcBorders>
              <w:top w:val="single" w:color="000000" w:sz="4" w:space="0"/>
              <w:left w:val="single" w:color="000000" w:sz="4" w:space="0"/>
              <w:bottom w:val="single" w:color="000000" w:sz="4" w:space="0"/>
              <w:right w:val="single" w:color="000000"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rPr>
              <w:t>10～30</w:t>
            </w:r>
          </w:p>
        </w:tc>
        <w:tc>
          <w:tcPr>
            <w:tcW w:w="1001" w:type="dxa"/>
            <w:tcBorders>
              <w:top w:val="single" w:color="000000" w:sz="4" w:space="0"/>
              <w:left w:val="single" w:color="000000" w:sz="4" w:space="0"/>
              <w:bottom w:val="single" w:color="000000" w:sz="4" w:space="0"/>
              <w:right w:val="single" w:color="000000" w:sz="4" w:space="0"/>
            </w:tcBorders>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lang w:val="en-US"/>
              </w:rPr>
              <w:t>10</w:t>
            </w:r>
            <w:r>
              <w:rPr>
                <w:rFonts w:hint="eastAsia" w:ascii="仿宋_GB2312" w:hAnsi="仿宋_GB2312" w:eastAsia="仿宋_GB2312" w:cs="仿宋_GB2312"/>
                <w:sz w:val="24"/>
              </w:rPr>
              <w:t>～</w:t>
            </w:r>
            <w:r>
              <w:rPr>
                <w:rFonts w:hint="eastAsia" w:ascii="仿宋_GB2312" w:hAnsi="仿宋_GB2312" w:eastAsia="仿宋_GB2312" w:cs="仿宋_GB2312"/>
                <w:sz w:val="24"/>
                <w:lang w:val="en-US"/>
              </w:rPr>
              <w:t>20</w:t>
            </w:r>
          </w:p>
        </w:tc>
        <w:tc>
          <w:tcPr>
            <w:tcW w:w="938" w:type="dxa"/>
            <w:tcBorders>
              <w:top w:val="single" w:color="000000" w:sz="4" w:space="0"/>
              <w:left w:val="single" w:color="000000" w:sz="4" w:space="0"/>
              <w:bottom w:val="single" w:color="000000" w:sz="4" w:space="0"/>
              <w:right w:val="single" w:color="000000"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lang w:val="en-US"/>
              </w:rPr>
              <w:t>20</w:t>
            </w:r>
            <w:r>
              <w:rPr>
                <w:rFonts w:hint="eastAsia" w:ascii="仿宋_GB2312" w:hAnsi="仿宋_GB2312" w:eastAsia="仿宋_GB2312" w:cs="仿宋_GB2312"/>
                <w:sz w:val="24"/>
              </w:rPr>
              <w:t>～45</w:t>
            </w:r>
          </w:p>
        </w:tc>
        <w:tc>
          <w:tcPr>
            <w:tcW w:w="909" w:type="dxa"/>
            <w:tcBorders>
              <w:top w:val="single" w:color="000000" w:sz="4" w:space="0"/>
              <w:left w:val="single" w:color="000000" w:sz="4" w:space="0"/>
              <w:bottom w:val="single" w:color="000000" w:sz="4" w:space="0"/>
              <w:right w:val="single" w:color="000000"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lang w:val="en-US"/>
              </w:rPr>
              <w:t>5</w:t>
            </w:r>
            <w:r>
              <w:rPr>
                <w:rFonts w:hint="eastAsia" w:ascii="仿宋_GB2312" w:hAnsi="仿宋_GB2312" w:eastAsia="仿宋_GB2312" w:cs="仿宋_GB2312"/>
                <w:sz w:val="24"/>
              </w:rPr>
              <w:t>～15</w:t>
            </w:r>
          </w:p>
        </w:tc>
        <w:tc>
          <w:tcPr>
            <w:tcW w:w="909" w:type="dxa"/>
            <w:tcBorders>
              <w:top w:val="single" w:color="000000" w:sz="4" w:space="0"/>
              <w:left w:val="single" w:color="000000" w:sz="4" w:space="0"/>
              <w:bottom w:val="single" w:color="000000" w:sz="4" w:space="0"/>
              <w:right w:val="single" w:color="000000" w:sz="4" w:space="0"/>
            </w:tcBorders>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rPr>
              <w:t>2</w:t>
            </w:r>
            <w:r>
              <w:rPr>
                <w:rFonts w:hint="eastAsia" w:ascii="仿宋_GB2312" w:hAnsi="仿宋_GB2312" w:eastAsia="仿宋_GB2312" w:cs="仿宋_GB2312"/>
                <w:sz w:val="24"/>
                <w:lang w:val="en-US"/>
              </w:rPr>
              <w:t>0</w:t>
            </w:r>
            <w:r>
              <w:rPr>
                <w:rFonts w:hint="eastAsia" w:ascii="仿宋_GB2312" w:hAnsi="仿宋_GB2312" w:eastAsia="仿宋_GB2312" w:cs="仿宋_GB2312"/>
                <w:sz w:val="24"/>
              </w:rPr>
              <w:t>～</w:t>
            </w:r>
            <w:r>
              <w:rPr>
                <w:rFonts w:hint="eastAsia" w:ascii="仿宋_GB2312" w:hAnsi="仿宋_GB2312" w:eastAsia="仿宋_GB2312" w:cs="仿宋_GB2312"/>
                <w:sz w:val="24"/>
                <w:lang w:val="en-US"/>
              </w:rPr>
              <w:t>50</w:t>
            </w:r>
          </w:p>
        </w:tc>
        <w:tc>
          <w:tcPr>
            <w:tcW w:w="902" w:type="dxa"/>
            <w:tcBorders>
              <w:top w:val="single" w:color="000000" w:sz="4" w:space="0"/>
              <w:left w:val="single" w:color="000000" w:sz="4" w:space="0"/>
              <w:bottom w:val="single" w:color="000000" w:sz="4" w:space="0"/>
              <w:right w:val="single" w:color="000000" w:sz="4" w:space="0"/>
            </w:tcBorders>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lang w:val="en-US"/>
              </w:rPr>
              <w:t>10</w:t>
            </w:r>
            <w:r>
              <w:rPr>
                <w:rFonts w:hint="eastAsia" w:ascii="仿宋_GB2312" w:hAnsi="仿宋_GB2312" w:eastAsia="仿宋_GB2312" w:cs="仿宋_GB2312"/>
                <w:sz w:val="24"/>
              </w:rPr>
              <w:t>～</w:t>
            </w:r>
            <w:r>
              <w:rPr>
                <w:rFonts w:hint="eastAsia" w:ascii="仿宋_GB2312" w:hAnsi="仿宋_GB2312" w:eastAsia="仿宋_GB2312" w:cs="仿宋_GB2312"/>
                <w:sz w:val="24"/>
                <w:lang w:val="en-US"/>
              </w:rPr>
              <w:t>25</w:t>
            </w:r>
          </w:p>
        </w:tc>
        <w:tc>
          <w:tcPr>
            <w:tcW w:w="934" w:type="dxa"/>
            <w:tcBorders>
              <w:top w:val="single" w:color="000000" w:sz="4" w:space="0"/>
              <w:left w:val="single" w:color="000000" w:sz="4" w:space="0"/>
              <w:bottom w:val="single" w:color="000000" w:sz="4" w:space="0"/>
              <w:right w:val="single" w:color="000000" w:sz="4" w:space="0"/>
            </w:tcBorders>
            <w:vAlign w:val="center"/>
          </w:tcPr>
          <w:p>
            <w:pPr>
              <w:pStyle w:val="113"/>
              <w:spacing w:line="240" w:lineRule="auto"/>
              <w:ind w:firstLine="0" w:firstLineChars="0"/>
              <w:rPr>
                <w:rFonts w:ascii="仿宋_GB2312" w:hAnsi="仿宋_GB2312" w:eastAsia="仿宋_GB2312" w:cs="仿宋_GB2312"/>
                <w:sz w:val="24"/>
              </w:rPr>
            </w:pPr>
            <w:r>
              <w:rPr>
                <w:rFonts w:hint="eastAsia" w:ascii="仿宋_GB2312" w:hAnsi="仿宋_GB2312" w:eastAsia="仿宋_GB2312" w:cs="仿宋_GB2312"/>
                <w:sz w:val="24"/>
                <w:lang w:val="en-US"/>
              </w:rPr>
              <w:t>20</w:t>
            </w:r>
            <w:r>
              <w:rPr>
                <w:rFonts w:hint="eastAsia" w:ascii="仿宋_GB2312" w:hAnsi="仿宋_GB2312" w:eastAsia="仿宋_GB2312" w:cs="仿宋_GB2312"/>
                <w:sz w:val="24"/>
              </w:rPr>
              <w:t>～45</w:t>
            </w:r>
          </w:p>
        </w:tc>
        <w:tc>
          <w:tcPr>
            <w:tcW w:w="1052" w:type="dxa"/>
            <w:tcBorders>
              <w:top w:val="single" w:color="000000" w:sz="4" w:space="0"/>
              <w:left w:val="single" w:color="000000" w:sz="4" w:space="0"/>
              <w:bottom w:val="single" w:color="000000" w:sz="4" w:space="0"/>
            </w:tcBorders>
            <w:vAlign w:val="center"/>
          </w:tcPr>
          <w:p>
            <w:pPr>
              <w:pStyle w:val="113"/>
              <w:spacing w:line="240" w:lineRule="auto"/>
              <w:ind w:firstLine="0" w:firstLineChars="0"/>
              <w:rPr>
                <w:rFonts w:ascii="仿宋_GB2312" w:hAnsi="仿宋_GB2312" w:eastAsia="仿宋_GB2312" w:cs="仿宋_GB2312"/>
                <w:sz w:val="24"/>
                <w:lang w:val="en-US"/>
              </w:rPr>
            </w:pPr>
            <w:r>
              <w:rPr>
                <w:rFonts w:hint="eastAsia" w:ascii="仿宋_GB2312" w:hAnsi="仿宋_GB2312" w:eastAsia="仿宋_GB2312" w:cs="仿宋_GB2312"/>
                <w:sz w:val="24"/>
                <w:lang w:val="en-US"/>
              </w:rPr>
              <w:t>100</w:t>
            </w:r>
            <w:r>
              <w:rPr>
                <w:rFonts w:hint="eastAsia" w:ascii="仿宋_GB2312" w:hAnsi="仿宋_GB2312" w:eastAsia="仿宋_GB2312" w:cs="仿宋_GB2312"/>
                <w:sz w:val="24"/>
              </w:rPr>
              <w:t>～2</w:t>
            </w:r>
            <w:r>
              <w:rPr>
                <w:rFonts w:hint="eastAsia" w:ascii="仿宋_GB2312" w:hAnsi="仿宋_GB2312" w:eastAsia="仿宋_GB2312" w:cs="仿宋_GB2312"/>
                <w:sz w:val="24"/>
                <w:lang w:val="en-US"/>
              </w:rPr>
              <w:t>30</w:t>
            </w:r>
          </w:p>
        </w:tc>
      </w:tr>
    </w:tbl>
    <w:p>
      <w:pPr>
        <w:adjustRightInd w:val="0"/>
        <w:spacing w:line="580" w:lineRule="exact"/>
        <w:ind w:firstLine="640"/>
        <w:rPr>
          <w:rFonts w:ascii="楷体_GB2312" w:hAnsi="楷体_GB2312" w:eastAsia="楷体_GB2312" w:cs="楷体_GB2312"/>
          <w:snapToGrid w:val="0"/>
          <w:color w:val="000000"/>
          <w:kern w:val="0"/>
          <w:sz w:val="32"/>
          <w:szCs w:val="32"/>
        </w:rPr>
      </w:pPr>
      <w:bookmarkStart w:id="101" w:name="_Toc22483"/>
      <w:r>
        <w:rPr>
          <w:rFonts w:hint="eastAsia" w:ascii="楷体_GB2312" w:hAnsi="楷体_GB2312" w:eastAsia="楷体_GB2312" w:cs="楷体_GB2312"/>
          <w:snapToGrid w:val="0"/>
          <w:color w:val="000000"/>
          <w:kern w:val="0"/>
          <w:sz w:val="32"/>
          <w:szCs w:val="32"/>
        </w:rPr>
        <w:t>（四）城区公共服务用地宗地地价修正体系</w:t>
      </w:r>
      <w:bookmarkEnd w:id="101"/>
    </w:p>
    <w:p>
      <w:pPr>
        <w:numPr>
          <w:ilvl w:val="0"/>
          <w:numId w:val="5"/>
        </w:numPr>
        <w:tabs>
          <w:tab w:val="left" w:pos="0"/>
        </w:tabs>
        <w:spacing w:before="72" w:after="72"/>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区域因素修正</w:t>
      </w: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公共服务用地区域因素修正系数表（一级）</w:t>
      </w:r>
    </w:p>
    <w:tbl>
      <w:tblPr>
        <w:tblStyle w:val="47"/>
        <w:tblW w:w="9286" w:type="dxa"/>
        <w:jc w:val="center"/>
        <w:tblInd w:w="0" w:type="dxa"/>
        <w:tblLayout w:type="fixed"/>
        <w:tblCellMar>
          <w:top w:w="0" w:type="dxa"/>
          <w:left w:w="108" w:type="dxa"/>
          <w:bottom w:w="0" w:type="dxa"/>
          <w:right w:w="108" w:type="dxa"/>
        </w:tblCellMar>
      </w:tblPr>
      <w:tblGrid>
        <w:gridCol w:w="1662"/>
        <w:gridCol w:w="1521"/>
        <w:gridCol w:w="1534"/>
        <w:gridCol w:w="1521"/>
        <w:gridCol w:w="1521"/>
        <w:gridCol w:w="1527"/>
      </w:tblGrid>
      <w:tr>
        <w:tblPrEx>
          <w:tblLayout w:type="fixed"/>
          <w:tblCellMar>
            <w:top w:w="0" w:type="dxa"/>
            <w:left w:w="108" w:type="dxa"/>
            <w:bottom w:w="0" w:type="dxa"/>
            <w:right w:w="108" w:type="dxa"/>
          </w:tblCellMar>
        </w:tblPrEx>
        <w:trPr>
          <w:trHeight w:val="285" w:hRule="atLeast"/>
          <w:tblHeader/>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因素/优劣度</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优</w:t>
            </w:r>
          </w:p>
        </w:tc>
        <w:tc>
          <w:tcPr>
            <w:tcW w:w="153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较优</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一般</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较劣</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劣</w:t>
            </w:r>
          </w:p>
        </w:tc>
      </w:tr>
      <w:tr>
        <w:tblPrEx>
          <w:tblLayout w:type="fixed"/>
          <w:tblCellMar>
            <w:top w:w="0" w:type="dxa"/>
            <w:left w:w="108" w:type="dxa"/>
            <w:bottom w:w="0" w:type="dxa"/>
            <w:right w:w="108" w:type="dxa"/>
          </w:tblCellMar>
        </w:tblPrEx>
        <w:trPr>
          <w:trHeight w:val="9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繁华程度</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距商服中心近、在农贸市场、大型宾馆区范围内，人流畅旺</w:t>
            </w:r>
          </w:p>
        </w:tc>
        <w:tc>
          <w:tcPr>
            <w:tcW w:w="153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距商服中心较近、离集贸市场、宾馆区较近，人流较畅旺</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距商服中心有一定距离，与集贸市场、宾馆距离一般、人流量一般</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距商服中心较远，所在地区商业气氛平淡，人流较少</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距商服中心远，独立、小型、零星的商业用地</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4.9378%</w:t>
            </w:r>
          </w:p>
        </w:tc>
        <w:tc>
          <w:tcPr>
            <w:tcW w:w="153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2.4689%</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0.00%</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-2.4689%</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-4.9378%</w:t>
            </w:r>
          </w:p>
        </w:tc>
      </w:tr>
      <w:tr>
        <w:tblPrEx>
          <w:tblLayout w:type="fixed"/>
          <w:tblCellMar>
            <w:top w:w="0" w:type="dxa"/>
            <w:left w:w="108" w:type="dxa"/>
            <w:bottom w:w="0" w:type="dxa"/>
            <w:right w:w="108" w:type="dxa"/>
          </w:tblCellMar>
        </w:tblPrEx>
        <w:trPr>
          <w:trHeight w:val="347"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交通条件</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道路通达度高、距长途汽车站近、交通方便</w:t>
            </w:r>
          </w:p>
        </w:tc>
        <w:tc>
          <w:tcPr>
            <w:tcW w:w="153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道路通达度较高、距长途汽车站较近，交通较方便</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道路通达度一般、距长途汽车站距离一般，交通一般</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道路通达度较低、距长途汽车站较远，交通较差</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道路通达度低、距长途汽车站远，交通不方便</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4.5141%</w:t>
            </w:r>
          </w:p>
        </w:tc>
        <w:tc>
          <w:tcPr>
            <w:tcW w:w="153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2.2570%</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0.00%</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-2.2570%</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-4.5141%</w:t>
            </w:r>
          </w:p>
        </w:tc>
      </w:tr>
      <w:tr>
        <w:tblPrEx>
          <w:tblLayout w:type="fixed"/>
          <w:tblCellMar>
            <w:top w:w="0" w:type="dxa"/>
            <w:left w:w="108" w:type="dxa"/>
            <w:bottom w:w="0" w:type="dxa"/>
            <w:right w:w="108" w:type="dxa"/>
          </w:tblCellMar>
        </w:tblPrEx>
        <w:trPr>
          <w:trHeight w:val="532"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基本设施状况</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市政供水，供电保证率高，排水状况好，周围学校、银行、邮电局（所）、医院等生活设施配套完备</w:t>
            </w:r>
          </w:p>
        </w:tc>
        <w:tc>
          <w:tcPr>
            <w:tcW w:w="153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市政供水，供电保证率较高，排水状况较好，周围学校、银行、邮电局（所）、医院等生活设施配套较完备</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市政供水，供电保证率一般，排水状况一般，周围学校、银行、邮电局（所）、医院等生活设施配套一般</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市政供水，供电保证率较低，排水状况较差，离学校、银行、邮电局（所）、医院等生活设施有一定的距离</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市政供水，供电保证率低，排水状况差，离学校、银行、邮电局（所）、医院较远，生活设施配套不完备</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4.0278%</w:t>
            </w:r>
          </w:p>
        </w:tc>
        <w:tc>
          <w:tcPr>
            <w:tcW w:w="153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2.0139%</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0.00%</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-2.0139%</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-4.0278%</w:t>
            </w:r>
          </w:p>
        </w:tc>
      </w:tr>
      <w:tr>
        <w:tblPrEx>
          <w:tblLayout w:type="fixed"/>
          <w:tblCellMar>
            <w:top w:w="0" w:type="dxa"/>
            <w:left w:w="108" w:type="dxa"/>
            <w:bottom w:w="0" w:type="dxa"/>
            <w:right w:w="108" w:type="dxa"/>
          </w:tblCellMar>
        </w:tblPrEx>
        <w:trPr>
          <w:trHeight w:val="135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环境条件</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周围绿化程度高、低噪音、环境优美、无水污染</w:t>
            </w:r>
          </w:p>
        </w:tc>
        <w:tc>
          <w:tcPr>
            <w:tcW w:w="153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周围绿化程度较高、噪音较低、基本无水污染</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周围有一定的绿化、有轻微的噪音污染、水污染</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周围绿化程度较低、噪音污染较大，水污染较严重</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周围绿化程度低或没绿化、噪音大，水污染严重</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2.2608%</w:t>
            </w:r>
          </w:p>
        </w:tc>
        <w:tc>
          <w:tcPr>
            <w:tcW w:w="153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1.1304%</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0.00%</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-1.1304%</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-2.2608%</w:t>
            </w:r>
          </w:p>
        </w:tc>
      </w:tr>
      <w:tr>
        <w:tblPrEx>
          <w:tblLayout w:type="fixed"/>
          <w:tblCellMar>
            <w:top w:w="0" w:type="dxa"/>
            <w:left w:w="108" w:type="dxa"/>
            <w:bottom w:w="0" w:type="dxa"/>
            <w:right w:w="108" w:type="dxa"/>
          </w:tblCellMar>
        </w:tblPrEx>
        <w:trPr>
          <w:trHeight w:val="27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人口状况</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人口密度高</w:t>
            </w:r>
          </w:p>
        </w:tc>
        <w:tc>
          <w:tcPr>
            <w:tcW w:w="153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人口密度较高</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人口密度一般</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人口密度较低</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人口密度低</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1.8559%</w:t>
            </w:r>
          </w:p>
        </w:tc>
        <w:tc>
          <w:tcPr>
            <w:tcW w:w="153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0.9280%</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0.00%</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-0.9280%</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-1.8559%</w:t>
            </w:r>
          </w:p>
        </w:tc>
      </w:tr>
      <w:tr>
        <w:tblPrEx>
          <w:tblLayout w:type="fixed"/>
          <w:tblCellMar>
            <w:top w:w="0" w:type="dxa"/>
            <w:left w:w="108" w:type="dxa"/>
            <w:bottom w:w="0" w:type="dxa"/>
            <w:right w:w="108" w:type="dxa"/>
          </w:tblCellMar>
        </w:tblPrEx>
        <w:trPr>
          <w:trHeight w:val="27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用地潜力</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规划前景好</w:t>
            </w:r>
          </w:p>
        </w:tc>
        <w:tc>
          <w:tcPr>
            <w:tcW w:w="153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规划前景较好</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规划前景一般</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规划前景较差</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规划前景差</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1.3243%</w:t>
            </w:r>
          </w:p>
        </w:tc>
        <w:tc>
          <w:tcPr>
            <w:tcW w:w="153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0.6622%</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0.00%</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-0.6622%</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-1.3243%</w:t>
            </w:r>
          </w:p>
        </w:tc>
      </w:tr>
    </w:tbl>
    <w:p>
      <w:pPr>
        <w:spacing w:line="60" w:lineRule="exact"/>
        <w:ind w:firstLine="560"/>
      </w:pP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公共服务用地区域因素修正系数表（二级）</w:t>
      </w:r>
    </w:p>
    <w:tbl>
      <w:tblPr>
        <w:tblStyle w:val="47"/>
        <w:tblW w:w="9331" w:type="dxa"/>
        <w:jc w:val="center"/>
        <w:tblInd w:w="0" w:type="dxa"/>
        <w:tblLayout w:type="fixed"/>
        <w:tblCellMar>
          <w:top w:w="0" w:type="dxa"/>
          <w:left w:w="108" w:type="dxa"/>
          <w:bottom w:w="0" w:type="dxa"/>
          <w:right w:w="108" w:type="dxa"/>
        </w:tblCellMar>
      </w:tblPr>
      <w:tblGrid>
        <w:gridCol w:w="1662"/>
        <w:gridCol w:w="1531"/>
        <w:gridCol w:w="1545"/>
        <w:gridCol w:w="1531"/>
        <w:gridCol w:w="1531"/>
        <w:gridCol w:w="1531"/>
      </w:tblGrid>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因素/优劣度</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优</w:t>
            </w:r>
          </w:p>
        </w:tc>
        <w:tc>
          <w:tcPr>
            <w:tcW w:w="154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较优</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一般</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较劣</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劣</w:t>
            </w:r>
          </w:p>
        </w:tc>
      </w:tr>
      <w:tr>
        <w:tblPrEx>
          <w:tblLayout w:type="fixed"/>
          <w:tblCellMar>
            <w:top w:w="0" w:type="dxa"/>
            <w:left w:w="108" w:type="dxa"/>
            <w:bottom w:w="0" w:type="dxa"/>
            <w:right w:w="108" w:type="dxa"/>
          </w:tblCellMar>
        </w:tblPrEx>
        <w:trPr>
          <w:trHeight w:val="135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繁华程度</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距商服中心近、在农贸市场、大型宾馆区范围内，人流畅旺</w:t>
            </w:r>
          </w:p>
        </w:tc>
        <w:tc>
          <w:tcPr>
            <w:tcW w:w="154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距商服中心较近、离集贸市场、宾馆区较近，人流较畅旺</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距商服中心有一定距离，与集贸市场、宾馆距离一般、人流量一般</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距商服中心较远，所在地区商业气氛平淡，人流较少</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距商服中心远，独立、小型、零星的商业用地</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4.8333%</w:t>
            </w:r>
          </w:p>
        </w:tc>
        <w:tc>
          <w:tcPr>
            <w:tcW w:w="154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2.4167%</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-2.4167%</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-4.8333%</w:t>
            </w:r>
          </w:p>
        </w:tc>
      </w:tr>
      <w:tr>
        <w:tblPrEx>
          <w:tblLayout w:type="fixed"/>
          <w:tblCellMar>
            <w:top w:w="0" w:type="dxa"/>
            <w:left w:w="108" w:type="dxa"/>
            <w:bottom w:w="0" w:type="dxa"/>
            <w:right w:w="108" w:type="dxa"/>
          </w:tblCellMar>
        </w:tblPrEx>
        <w:trPr>
          <w:trHeight w:val="62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交通条件</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道路通达度高、距长途汽车站近、交通方便</w:t>
            </w:r>
          </w:p>
        </w:tc>
        <w:tc>
          <w:tcPr>
            <w:tcW w:w="154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道路通达度较高、距长途汽车站较近，交通较方便</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道路通达度一般、距长途汽车站距离一般，交通一般</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道路通达度较低、距长途汽车站较远，交通较差</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道路通达度低、距长途汽车站远，交通不方便</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4.4185%</w:t>
            </w:r>
          </w:p>
        </w:tc>
        <w:tc>
          <w:tcPr>
            <w:tcW w:w="154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2.2093%</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-2.2093%</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-4.4185%</w:t>
            </w:r>
          </w:p>
        </w:tc>
      </w:tr>
      <w:tr>
        <w:tblPrEx>
          <w:tblLayout w:type="fixed"/>
          <w:tblCellMar>
            <w:top w:w="0" w:type="dxa"/>
            <w:left w:w="108" w:type="dxa"/>
            <w:bottom w:w="0" w:type="dxa"/>
            <w:right w:w="108" w:type="dxa"/>
          </w:tblCellMar>
        </w:tblPrEx>
        <w:trPr>
          <w:trHeight w:val="392"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基本设施状况</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市政供水，供电保证率高，排水状况好，周围学校、银行、邮电局（所）、医院等生活设施配套完备</w:t>
            </w:r>
          </w:p>
        </w:tc>
        <w:tc>
          <w:tcPr>
            <w:tcW w:w="154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市政供水，供电保证率较高，排水状况较好，周围学校、银行、邮电局（所）、医院等生活设施配套较完备</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市政供水，供电保证率一般，排水状况一般，周围学校、银行、邮电局（所）、医院等生活设施配套一般</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市政供水，供电保证率较低，排水状况较差，离学校、银行、邮电局（所）、医院等生活设施有一定的距离</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市政供水，供电保证率低，排水状况差，离学校、银行、邮电局（所）、医院较远，生活设施配套不完备</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3.9426%</w:t>
            </w:r>
          </w:p>
        </w:tc>
        <w:tc>
          <w:tcPr>
            <w:tcW w:w="154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1.9713%</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-1.9713%</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-3.9426%</w:t>
            </w:r>
          </w:p>
        </w:tc>
      </w:tr>
      <w:tr>
        <w:tblPrEx>
          <w:tblLayout w:type="fixed"/>
          <w:tblCellMar>
            <w:top w:w="0" w:type="dxa"/>
            <w:left w:w="108" w:type="dxa"/>
            <w:bottom w:w="0" w:type="dxa"/>
            <w:right w:w="108" w:type="dxa"/>
          </w:tblCellMar>
        </w:tblPrEx>
        <w:trPr>
          <w:trHeight w:val="135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环境条件</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周围绿化程度高、低噪音、环境优美、无水污染</w:t>
            </w:r>
          </w:p>
        </w:tc>
        <w:tc>
          <w:tcPr>
            <w:tcW w:w="154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周围绿化程度较高、噪音较低、基本无水污染</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周围有一定的绿化、有轻微的噪音污染、水污染</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周围绿化程度较低、噪音污染较大，水污染较严重</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周围绿化程度低或没绿化、噪音大，水污染严重</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2.2130%</w:t>
            </w:r>
          </w:p>
        </w:tc>
        <w:tc>
          <w:tcPr>
            <w:tcW w:w="154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1.1065%</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-1.1065%</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-2.2130%</w:t>
            </w:r>
          </w:p>
        </w:tc>
      </w:tr>
      <w:tr>
        <w:tblPrEx>
          <w:tblLayout w:type="fixed"/>
          <w:tblCellMar>
            <w:top w:w="0" w:type="dxa"/>
            <w:left w:w="108" w:type="dxa"/>
            <w:bottom w:w="0" w:type="dxa"/>
            <w:right w:w="108" w:type="dxa"/>
          </w:tblCellMar>
        </w:tblPrEx>
        <w:trPr>
          <w:trHeight w:val="27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人口状况</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人口密度高</w:t>
            </w:r>
          </w:p>
        </w:tc>
        <w:tc>
          <w:tcPr>
            <w:tcW w:w="154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人口密度较高</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人口密度一般</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人口密度较低</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人口密度低</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1.8167%</w:t>
            </w:r>
          </w:p>
        </w:tc>
        <w:tc>
          <w:tcPr>
            <w:tcW w:w="154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0.9083%</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-0.9083%</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-1.8167%</w:t>
            </w:r>
          </w:p>
        </w:tc>
      </w:tr>
      <w:tr>
        <w:tblPrEx>
          <w:tblLayout w:type="fixed"/>
          <w:tblCellMar>
            <w:top w:w="0" w:type="dxa"/>
            <w:left w:w="108" w:type="dxa"/>
            <w:bottom w:w="0" w:type="dxa"/>
            <w:right w:w="108" w:type="dxa"/>
          </w:tblCellMar>
        </w:tblPrEx>
        <w:trPr>
          <w:trHeight w:val="27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用地潜力</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规划前景好</w:t>
            </w:r>
          </w:p>
        </w:tc>
        <w:tc>
          <w:tcPr>
            <w:tcW w:w="154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规划前景较好</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规划前景一般</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规划前景较差</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规划前景差</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1.2963%</w:t>
            </w:r>
          </w:p>
        </w:tc>
        <w:tc>
          <w:tcPr>
            <w:tcW w:w="154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0.6481%</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-0.6481%</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-1.2963%</w:t>
            </w:r>
          </w:p>
        </w:tc>
      </w:tr>
    </w:tbl>
    <w:p>
      <w:pPr>
        <w:spacing w:line="60" w:lineRule="exact"/>
        <w:ind w:firstLine="560"/>
      </w:pP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公共服务用地区域因素修正系数表（三级）</w:t>
      </w:r>
    </w:p>
    <w:tbl>
      <w:tblPr>
        <w:tblStyle w:val="47"/>
        <w:tblW w:w="9331" w:type="dxa"/>
        <w:jc w:val="center"/>
        <w:tblInd w:w="0" w:type="dxa"/>
        <w:tblLayout w:type="fixed"/>
        <w:tblCellMar>
          <w:top w:w="0" w:type="dxa"/>
          <w:left w:w="108" w:type="dxa"/>
          <w:bottom w:w="0" w:type="dxa"/>
          <w:right w:w="108" w:type="dxa"/>
        </w:tblCellMar>
      </w:tblPr>
      <w:tblGrid>
        <w:gridCol w:w="1662"/>
        <w:gridCol w:w="1531"/>
        <w:gridCol w:w="1545"/>
        <w:gridCol w:w="1531"/>
        <w:gridCol w:w="1531"/>
        <w:gridCol w:w="1531"/>
      </w:tblGrid>
      <w:tr>
        <w:tblPrEx>
          <w:tblLayout w:type="fixed"/>
          <w:tblCellMar>
            <w:top w:w="0" w:type="dxa"/>
            <w:left w:w="108" w:type="dxa"/>
            <w:bottom w:w="0" w:type="dxa"/>
            <w:right w:w="108" w:type="dxa"/>
          </w:tblCellMar>
        </w:tblPrEx>
        <w:trPr>
          <w:trHeight w:val="285" w:hRule="atLeast"/>
          <w:tblHeader/>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因素/优劣度</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优</w:t>
            </w:r>
          </w:p>
        </w:tc>
        <w:tc>
          <w:tcPr>
            <w:tcW w:w="154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较优</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一般</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较劣</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劣</w:t>
            </w:r>
          </w:p>
        </w:tc>
      </w:tr>
      <w:tr>
        <w:tblPrEx>
          <w:tblLayout w:type="fixed"/>
          <w:tblCellMar>
            <w:top w:w="0" w:type="dxa"/>
            <w:left w:w="108" w:type="dxa"/>
            <w:bottom w:w="0" w:type="dxa"/>
            <w:right w:w="108" w:type="dxa"/>
          </w:tblCellMar>
        </w:tblPrEx>
        <w:trPr>
          <w:trHeight w:val="135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繁华程度</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距商服中心近、在农贸市场、大型宾馆区范围内，人流畅旺</w:t>
            </w:r>
          </w:p>
        </w:tc>
        <w:tc>
          <w:tcPr>
            <w:tcW w:w="154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距商服中心较近、离集贸市场、宾馆区较近，人流较畅旺</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距商服中心有一定距离，与集贸市场、宾馆距离一般、人流量一般</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距商服中心较远，所在地区商业气氛平淡，人流较少</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距商服中心远，独立、小型、零星的商业用地</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5.2200%</w:t>
            </w:r>
          </w:p>
        </w:tc>
        <w:tc>
          <w:tcPr>
            <w:tcW w:w="154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2.6100%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-2.6100%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-5.2200%</w:t>
            </w:r>
          </w:p>
        </w:tc>
      </w:tr>
      <w:tr>
        <w:tblPrEx>
          <w:tblLayout w:type="fixed"/>
          <w:tblCellMar>
            <w:top w:w="0" w:type="dxa"/>
            <w:left w:w="108" w:type="dxa"/>
            <w:bottom w:w="0" w:type="dxa"/>
            <w:right w:w="108" w:type="dxa"/>
          </w:tblCellMar>
        </w:tblPrEx>
        <w:trPr>
          <w:trHeight w:val="108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交通条件</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道路通达度高、距长途汽车站近、交通方便</w:t>
            </w:r>
          </w:p>
        </w:tc>
        <w:tc>
          <w:tcPr>
            <w:tcW w:w="154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道路通达度较高、距长途汽车站较近，交通较方便</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道路通达度一般、距长途汽车站距离一般，交通一般</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道路通达度较低、距长途汽车站较远，交通较差</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道路通达度低、距长途汽车站远，交通不方便</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4.7720%</w:t>
            </w:r>
          </w:p>
        </w:tc>
        <w:tc>
          <w:tcPr>
            <w:tcW w:w="154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2.3860%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-2.3860%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-4.7720%</w:t>
            </w:r>
          </w:p>
        </w:tc>
      </w:tr>
      <w:tr>
        <w:tblPrEx>
          <w:tblLayout w:type="fixed"/>
          <w:tblCellMar>
            <w:top w:w="0" w:type="dxa"/>
            <w:left w:w="108" w:type="dxa"/>
            <w:bottom w:w="0" w:type="dxa"/>
            <w:right w:w="108" w:type="dxa"/>
          </w:tblCellMar>
        </w:tblPrEx>
        <w:trPr>
          <w:trHeight w:val="83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基本设施状况</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市政供水，供电保证率高，排水状况好，周围学校、银行、邮电局（所）、医院等生活设施配套完备</w:t>
            </w:r>
          </w:p>
        </w:tc>
        <w:tc>
          <w:tcPr>
            <w:tcW w:w="154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市政供水，供电保证率较高，排水状况较好，周围学校、银行、邮电局（所）、医院等生活设施配套较完备</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市政供水，供电保证率一般，排水状况一般，周围学校、银行、邮电局（所）、医院等生活设施配套一般</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市政供水，供电保证率较低，排水状况较差，离学校、银行、邮电局（所）、医院等生活设施有一定的距离</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市政供水，供电保证率低，排水状况差，离学校、银行、邮电局（所）、医院较远，生活设施配套不完备</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4.2580%</w:t>
            </w:r>
          </w:p>
        </w:tc>
        <w:tc>
          <w:tcPr>
            <w:tcW w:w="154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2.1290%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-2.1290%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-4.2580%</w:t>
            </w:r>
          </w:p>
        </w:tc>
      </w:tr>
      <w:tr>
        <w:tblPrEx>
          <w:tblLayout w:type="fixed"/>
          <w:tblCellMar>
            <w:top w:w="0" w:type="dxa"/>
            <w:left w:w="108" w:type="dxa"/>
            <w:bottom w:w="0" w:type="dxa"/>
            <w:right w:w="108" w:type="dxa"/>
          </w:tblCellMar>
        </w:tblPrEx>
        <w:trPr>
          <w:trHeight w:val="321"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环境条件</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周围绿化程度高、低噪音、环境优美、无水污染</w:t>
            </w:r>
          </w:p>
        </w:tc>
        <w:tc>
          <w:tcPr>
            <w:tcW w:w="154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周围绿化程度较高、噪音较低、基本无水污染</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周围有一定的绿化、有轻微的噪音污染、水污染</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周围绿化程度较低、噪音污染较大，水污染较严重</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周围绿化程度低或没绿化、噪音大，水污染严重</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2.3900%</w:t>
            </w:r>
          </w:p>
        </w:tc>
        <w:tc>
          <w:tcPr>
            <w:tcW w:w="154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1.1950%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-1.1950%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-2.3900%</w:t>
            </w:r>
          </w:p>
        </w:tc>
      </w:tr>
      <w:tr>
        <w:tblPrEx>
          <w:tblLayout w:type="fixed"/>
          <w:tblCellMar>
            <w:top w:w="0" w:type="dxa"/>
            <w:left w:w="108" w:type="dxa"/>
            <w:bottom w:w="0" w:type="dxa"/>
            <w:right w:w="108" w:type="dxa"/>
          </w:tblCellMar>
        </w:tblPrEx>
        <w:trPr>
          <w:trHeight w:val="27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人口状况</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人口密度高</w:t>
            </w:r>
          </w:p>
        </w:tc>
        <w:tc>
          <w:tcPr>
            <w:tcW w:w="154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人口密度较高</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人口密度一般</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人口密度较低</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人口密度低</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1.9620%</w:t>
            </w:r>
          </w:p>
        </w:tc>
        <w:tc>
          <w:tcPr>
            <w:tcW w:w="154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0.9810%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-0.9810%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-1.9620%</w:t>
            </w:r>
          </w:p>
        </w:tc>
      </w:tr>
      <w:tr>
        <w:tblPrEx>
          <w:tblLayout w:type="fixed"/>
          <w:tblCellMar>
            <w:top w:w="0" w:type="dxa"/>
            <w:left w:w="108" w:type="dxa"/>
            <w:bottom w:w="0" w:type="dxa"/>
            <w:right w:w="108" w:type="dxa"/>
          </w:tblCellMar>
        </w:tblPrEx>
        <w:trPr>
          <w:trHeight w:val="27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用地潜力</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规划前景好</w:t>
            </w:r>
          </w:p>
        </w:tc>
        <w:tc>
          <w:tcPr>
            <w:tcW w:w="154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规划前景较好</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规划前景一般</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规划前景较差</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规划前景差</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1.4000%</w:t>
            </w:r>
          </w:p>
        </w:tc>
        <w:tc>
          <w:tcPr>
            <w:tcW w:w="154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0.7000%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-0.7000%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-1.4000%</w:t>
            </w:r>
          </w:p>
        </w:tc>
      </w:tr>
    </w:tbl>
    <w:p>
      <w:pPr>
        <w:numPr>
          <w:ilvl w:val="0"/>
          <w:numId w:val="5"/>
        </w:numPr>
        <w:tabs>
          <w:tab w:val="left" w:pos="0"/>
        </w:tabs>
        <w:spacing w:before="72" w:after="72"/>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容积率修正</w:t>
      </w: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公共服务用地容积率修正系数表</w:t>
      </w:r>
    </w:p>
    <w:tbl>
      <w:tblPr>
        <w:tblStyle w:val="47"/>
        <w:tblW w:w="9286" w:type="dxa"/>
        <w:jc w:val="center"/>
        <w:tblInd w:w="0" w:type="dxa"/>
        <w:tblLayout w:type="fixed"/>
        <w:tblCellMar>
          <w:top w:w="0" w:type="dxa"/>
          <w:left w:w="108" w:type="dxa"/>
          <w:bottom w:w="0" w:type="dxa"/>
          <w:right w:w="108" w:type="dxa"/>
        </w:tblCellMar>
      </w:tblPr>
      <w:tblGrid>
        <w:gridCol w:w="1030"/>
        <w:gridCol w:w="1030"/>
        <w:gridCol w:w="1031"/>
        <w:gridCol w:w="1031"/>
        <w:gridCol w:w="1031"/>
        <w:gridCol w:w="1031"/>
        <w:gridCol w:w="1031"/>
        <w:gridCol w:w="1031"/>
        <w:gridCol w:w="1040"/>
      </w:tblGrid>
      <w:tr>
        <w:tblPrEx>
          <w:tblLayout w:type="fixed"/>
          <w:tblCellMar>
            <w:top w:w="0" w:type="dxa"/>
            <w:left w:w="108" w:type="dxa"/>
            <w:bottom w:w="0" w:type="dxa"/>
            <w:right w:w="108" w:type="dxa"/>
          </w:tblCellMar>
        </w:tblPrEx>
        <w:trPr>
          <w:trHeight w:val="300" w:hRule="atLeast"/>
          <w:jc w:val="center"/>
        </w:trPr>
        <w:tc>
          <w:tcPr>
            <w:tcW w:w="1030" w:type="dxa"/>
            <w:tcBorders>
              <w:top w:val="single" w:color="auto" w:sz="4" w:space="0"/>
              <w:left w:val="single" w:color="000000" w:sz="8" w:space="0"/>
              <w:bottom w:val="single" w:color="000000" w:sz="8" w:space="0"/>
              <w:right w:val="single" w:color="000000" w:sz="8"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容积率</w:t>
            </w:r>
          </w:p>
        </w:tc>
        <w:tc>
          <w:tcPr>
            <w:tcW w:w="1030" w:type="dxa"/>
            <w:tcBorders>
              <w:top w:val="single" w:color="auto"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w:t>
            </w:r>
          </w:p>
        </w:tc>
        <w:tc>
          <w:tcPr>
            <w:tcW w:w="1031" w:type="dxa"/>
            <w:tcBorders>
              <w:top w:val="single" w:color="auto"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1.1</w:t>
            </w:r>
          </w:p>
        </w:tc>
        <w:tc>
          <w:tcPr>
            <w:tcW w:w="1031" w:type="dxa"/>
            <w:tcBorders>
              <w:top w:val="single" w:color="auto"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w:t>
            </w:r>
          </w:p>
        </w:tc>
        <w:tc>
          <w:tcPr>
            <w:tcW w:w="1031" w:type="dxa"/>
            <w:tcBorders>
              <w:top w:val="single" w:color="auto"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w:t>
            </w:r>
          </w:p>
        </w:tc>
        <w:tc>
          <w:tcPr>
            <w:tcW w:w="1031" w:type="dxa"/>
            <w:tcBorders>
              <w:top w:val="single" w:color="auto"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1.4</w:t>
            </w:r>
          </w:p>
        </w:tc>
        <w:tc>
          <w:tcPr>
            <w:tcW w:w="1031" w:type="dxa"/>
            <w:tcBorders>
              <w:top w:val="single" w:color="auto"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1.5</w:t>
            </w:r>
          </w:p>
        </w:tc>
        <w:tc>
          <w:tcPr>
            <w:tcW w:w="1031" w:type="dxa"/>
            <w:tcBorders>
              <w:top w:val="single" w:color="auto"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1.6</w:t>
            </w:r>
          </w:p>
        </w:tc>
        <w:tc>
          <w:tcPr>
            <w:tcW w:w="1040" w:type="dxa"/>
            <w:tcBorders>
              <w:top w:val="single" w:color="auto"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1.7</w:t>
            </w:r>
          </w:p>
        </w:tc>
      </w:tr>
      <w:tr>
        <w:tblPrEx>
          <w:tblLayout w:type="fixed"/>
          <w:tblCellMar>
            <w:top w:w="0" w:type="dxa"/>
            <w:left w:w="108" w:type="dxa"/>
            <w:bottom w:w="0" w:type="dxa"/>
            <w:right w:w="108" w:type="dxa"/>
          </w:tblCellMar>
        </w:tblPrEx>
        <w:trPr>
          <w:trHeight w:val="555" w:hRule="atLeast"/>
          <w:jc w:val="center"/>
        </w:trPr>
        <w:tc>
          <w:tcPr>
            <w:tcW w:w="1030" w:type="dxa"/>
            <w:tcBorders>
              <w:top w:val="nil"/>
              <w:left w:val="single" w:color="000000" w:sz="8" w:space="0"/>
              <w:bottom w:val="single" w:color="000000" w:sz="8" w:space="0"/>
              <w:right w:val="single" w:color="000000" w:sz="8"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w:t>
            </w:r>
          </w:p>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系数</w:t>
            </w:r>
          </w:p>
        </w:tc>
        <w:tc>
          <w:tcPr>
            <w:tcW w:w="1030"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1.4037</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1.3524</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1.291</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1.25</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1.209</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1.168</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1.1373</w:t>
            </w:r>
          </w:p>
        </w:tc>
        <w:tc>
          <w:tcPr>
            <w:tcW w:w="1040"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1.1065</w:t>
            </w:r>
          </w:p>
        </w:tc>
      </w:tr>
      <w:tr>
        <w:tblPrEx>
          <w:tblLayout w:type="fixed"/>
          <w:tblCellMar>
            <w:top w:w="0" w:type="dxa"/>
            <w:left w:w="108" w:type="dxa"/>
            <w:bottom w:w="0" w:type="dxa"/>
            <w:right w:w="108" w:type="dxa"/>
          </w:tblCellMar>
        </w:tblPrEx>
        <w:trPr>
          <w:trHeight w:val="300" w:hRule="atLeast"/>
          <w:jc w:val="center"/>
        </w:trPr>
        <w:tc>
          <w:tcPr>
            <w:tcW w:w="1030" w:type="dxa"/>
            <w:tcBorders>
              <w:top w:val="nil"/>
              <w:left w:val="single" w:color="000000" w:sz="8" w:space="0"/>
              <w:bottom w:val="single" w:color="000000" w:sz="8" w:space="0"/>
              <w:right w:val="single" w:color="000000" w:sz="8"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容积率</w:t>
            </w:r>
          </w:p>
        </w:tc>
        <w:tc>
          <w:tcPr>
            <w:tcW w:w="1030"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1.9</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2.1</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2.2</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2.3</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2.4</w:t>
            </w:r>
          </w:p>
        </w:tc>
        <w:tc>
          <w:tcPr>
            <w:tcW w:w="1040"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2.5</w:t>
            </w:r>
          </w:p>
        </w:tc>
      </w:tr>
      <w:tr>
        <w:tblPrEx>
          <w:tblLayout w:type="fixed"/>
          <w:tblCellMar>
            <w:top w:w="0" w:type="dxa"/>
            <w:left w:w="108" w:type="dxa"/>
            <w:bottom w:w="0" w:type="dxa"/>
            <w:right w:w="108" w:type="dxa"/>
          </w:tblCellMar>
        </w:tblPrEx>
        <w:trPr>
          <w:trHeight w:val="555" w:hRule="atLeast"/>
          <w:jc w:val="center"/>
        </w:trPr>
        <w:tc>
          <w:tcPr>
            <w:tcW w:w="1030" w:type="dxa"/>
            <w:tcBorders>
              <w:top w:val="nil"/>
              <w:left w:val="single" w:color="000000" w:sz="8" w:space="0"/>
              <w:bottom w:val="single" w:color="000000" w:sz="8" w:space="0"/>
              <w:right w:val="single" w:color="000000" w:sz="8"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w:t>
            </w:r>
          </w:p>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系数</w:t>
            </w:r>
          </w:p>
        </w:tc>
        <w:tc>
          <w:tcPr>
            <w:tcW w:w="1030"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1.0758</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1.0451</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1.0041</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0.9836</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0.9631</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0.9426</w:t>
            </w:r>
          </w:p>
        </w:tc>
        <w:tc>
          <w:tcPr>
            <w:tcW w:w="1040"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0.9221</w:t>
            </w:r>
          </w:p>
        </w:tc>
      </w:tr>
      <w:tr>
        <w:tblPrEx>
          <w:tblLayout w:type="fixed"/>
          <w:tblCellMar>
            <w:top w:w="0" w:type="dxa"/>
            <w:left w:w="108" w:type="dxa"/>
            <w:bottom w:w="0" w:type="dxa"/>
            <w:right w:w="108" w:type="dxa"/>
          </w:tblCellMar>
        </w:tblPrEx>
        <w:trPr>
          <w:trHeight w:val="300" w:hRule="atLeast"/>
          <w:jc w:val="center"/>
        </w:trPr>
        <w:tc>
          <w:tcPr>
            <w:tcW w:w="1030" w:type="dxa"/>
            <w:tcBorders>
              <w:top w:val="nil"/>
              <w:left w:val="single" w:color="000000" w:sz="8" w:space="0"/>
              <w:bottom w:val="nil"/>
              <w:right w:val="single" w:color="000000" w:sz="8"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容积率</w:t>
            </w:r>
          </w:p>
        </w:tc>
        <w:tc>
          <w:tcPr>
            <w:tcW w:w="1030"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2.6</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2.7</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2.8</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2.9</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3.1</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3.2</w:t>
            </w:r>
          </w:p>
        </w:tc>
        <w:tc>
          <w:tcPr>
            <w:tcW w:w="1040"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3.3</w:t>
            </w:r>
          </w:p>
        </w:tc>
      </w:tr>
      <w:tr>
        <w:tblPrEx>
          <w:tblLayout w:type="fixed"/>
          <w:tblCellMar>
            <w:top w:w="0" w:type="dxa"/>
            <w:left w:w="108" w:type="dxa"/>
            <w:bottom w:w="0" w:type="dxa"/>
            <w:right w:w="108" w:type="dxa"/>
          </w:tblCellMar>
        </w:tblPrEx>
        <w:trPr>
          <w:trHeight w:val="555" w:hRule="atLeast"/>
          <w:jc w:val="center"/>
        </w:trPr>
        <w:tc>
          <w:tcPr>
            <w:tcW w:w="1030"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w:t>
            </w:r>
          </w:p>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系数</w:t>
            </w:r>
          </w:p>
        </w:tc>
        <w:tc>
          <w:tcPr>
            <w:tcW w:w="1030"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0.9119</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0.8914</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0.8811</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0.8606</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0.8504</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0.8401</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0.8299</w:t>
            </w:r>
          </w:p>
        </w:tc>
        <w:tc>
          <w:tcPr>
            <w:tcW w:w="1040"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0.8197</w:t>
            </w:r>
          </w:p>
        </w:tc>
      </w:tr>
      <w:tr>
        <w:tblPrEx>
          <w:tblLayout w:type="fixed"/>
          <w:tblCellMar>
            <w:top w:w="0" w:type="dxa"/>
            <w:left w:w="108" w:type="dxa"/>
            <w:bottom w:w="0" w:type="dxa"/>
            <w:right w:w="108" w:type="dxa"/>
          </w:tblCellMar>
        </w:tblPrEx>
        <w:trPr>
          <w:trHeight w:val="285" w:hRule="atLeast"/>
          <w:jc w:val="center"/>
        </w:trPr>
        <w:tc>
          <w:tcPr>
            <w:tcW w:w="1030" w:type="dxa"/>
            <w:tcBorders>
              <w:top w:val="nil"/>
              <w:left w:val="single" w:color="000000" w:sz="8" w:space="0"/>
              <w:bottom w:val="nil"/>
              <w:right w:val="single" w:color="000000" w:sz="8"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容积率</w:t>
            </w:r>
          </w:p>
        </w:tc>
        <w:tc>
          <w:tcPr>
            <w:tcW w:w="1030"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3.4</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3.5</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3.6</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3.7</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3.8</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3.9</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w:t>
            </w:r>
          </w:p>
        </w:tc>
        <w:tc>
          <w:tcPr>
            <w:tcW w:w="1040" w:type="dxa"/>
            <w:vMerge w:val="restart"/>
            <w:tcBorders>
              <w:top w:val="single" w:color="000000" w:sz="4" w:space="0"/>
              <w:left w:val="single" w:color="000000" w:sz="4" w:space="0"/>
              <w:right w:val="single" w:color="000000" w:sz="4" w:space="0"/>
            </w:tcBorders>
            <w:vAlign w:val="center"/>
          </w:tcPr>
          <w:p>
            <w:pPr>
              <w:autoSpaceDE/>
              <w:autoSpaceDN/>
              <w:spacing w:line="240" w:lineRule="auto"/>
              <w:ind w:firstLine="0" w:firstLineChars="0"/>
              <w:jc w:val="center"/>
              <w:rPr>
                <w:rFonts w:cs="仿宋"/>
                <w:sz w:val="24"/>
              </w:rPr>
            </w:pPr>
            <w:r>
              <w:rPr>
                <w:rFonts w:hint="eastAsia" w:cs="仿宋"/>
                <w:sz w:val="24"/>
              </w:rPr>
              <w:t>--</w:t>
            </w:r>
          </w:p>
        </w:tc>
      </w:tr>
      <w:tr>
        <w:tblPrEx>
          <w:tblLayout w:type="fixed"/>
          <w:tblCellMar>
            <w:top w:w="0" w:type="dxa"/>
            <w:left w:w="108" w:type="dxa"/>
            <w:bottom w:w="0" w:type="dxa"/>
            <w:right w:w="108" w:type="dxa"/>
          </w:tblCellMar>
        </w:tblPrEx>
        <w:trPr>
          <w:trHeight w:val="540" w:hRule="atLeast"/>
          <w:jc w:val="center"/>
        </w:trPr>
        <w:tc>
          <w:tcPr>
            <w:tcW w:w="1030"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w:t>
            </w:r>
          </w:p>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系数</w:t>
            </w:r>
          </w:p>
        </w:tc>
        <w:tc>
          <w:tcPr>
            <w:tcW w:w="1030"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0.7992</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0.7889</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0.7787</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0.7684</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0.7684</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0.7582</w:t>
            </w:r>
          </w:p>
        </w:tc>
        <w:tc>
          <w:tcPr>
            <w:tcW w:w="1031" w:type="dxa"/>
            <w:tcBorders>
              <w:top w:val="single" w:color="000000" w:sz="4" w:space="0"/>
              <w:left w:val="single" w:color="000000" w:sz="4" w:space="0"/>
              <w:bottom w:val="single" w:color="000000" w:sz="4" w:space="0"/>
              <w:right w:val="single" w:color="000000"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0.7479</w:t>
            </w:r>
          </w:p>
        </w:tc>
        <w:tc>
          <w:tcPr>
            <w:tcW w:w="1040" w:type="dxa"/>
            <w:vMerge w:val="continue"/>
            <w:tcBorders>
              <w:left w:val="single" w:color="000000" w:sz="4" w:space="0"/>
              <w:bottom w:val="single" w:color="000000" w:sz="4" w:space="0"/>
              <w:right w:val="single" w:color="000000" w:sz="4" w:space="0"/>
            </w:tcBorders>
            <w:vAlign w:val="center"/>
          </w:tcPr>
          <w:p>
            <w:pPr>
              <w:autoSpaceDE/>
              <w:autoSpaceDN/>
              <w:spacing w:line="240" w:lineRule="auto"/>
              <w:ind w:firstLine="0" w:firstLineChars="0"/>
              <w:jc w:val="center"/>
              <w:rPr>
                <w:rFonts w:cs="仿宋"/>
                <w:sz w:val="24"/>
              </w:rPr>
            </w:pPr>
          </w:p>
        </w:tc>
      </w:tr>
    </w:tbl>
    <w:p>
      <w:pPr>
        <w:numPr>
          <w:ilvl w:val="0"/>
          <w:numId w:val="5"/>
        </w:numPr>
        <w:tabs>
          <w:tab w:val="left" w:pos="0"/>
        </w:tabs>
        <w:spacing w:before="72" w:after="72"/>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公共服务用地个别因素修正</w:t>
      </w: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其他个别因素条件指标说明与修正系数表</w:t>
      </w:r>
    </w:p>
    <w:tbl>
      <w:tblPr>
        <w:tblStyle w:val="47"/>
        <w:tblW w:w="907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02"/>
        <w:gridCol w:w="1341"/>
        <w:gridCol w:w="1141"/>
        <w:gridCol w:w="1270"/>
        <w:gridCol w:w="1386"/>
        <w:gridCol w:w="1388"/>
        <w:gridCol w:w="14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44" w:hRule="atLeast"/>
          <w:tblHeader/>
          <w:jc w:val="center"/>
        </w:trPr>
        <w:tc>
          <w:tcPr>
            <w:tcW w:w="2443" w:type="dxa"/>
            <w:gridSpan w:val="2"/>
            <w:tcBorders>
              <w:top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指标标准</w:t>
            </w:r>
          </w:p>
        </w:tc>
        <w:tc>
          <w:tcPr>
            <w:tcW w:w="1141" w:type="dxa"/>
            <w:tcBorders>
              <w:top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优</w:t>
            </w:r>
          </w:p>
        </w:tc>
        <w:tc>
          <w:tcPr>
            <w:tcW w:w="1270" w:type="dxa"/>
            <w:tcBorders>
              <w:top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较优</w:t>
            </w:r>
          </w:p>
        </w:tc>
        <w:tc>
          <w:tcPr>
            <w:tcW w:w="1386" w:type="dxa"/>
            <w:tcBorders>
              <w:top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一般</w:t>
            </w:r>
          </w:p>
        </w:tc>
        <w:tc>
          <w:tcPr>
            <w:tcW w:w="1388" w:type="dxa"/>
            <w:tcBorders>
              <w:top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较劣</w:t>
            </w:r>
          </w:p>
        </w:tc>
        <w:tc>
          <w:tcPr>
            <w:tcW w:w="1442" w:type="dxa"/>
            <w:tcBorders>
              <w:top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089" w:hRule="atLeast"/>
          <w:jc w:val="center"/>
        </w:trPr>
        <w:tc>
          <w:tcPr>
            <w:tcW w:w="1102" w:type="dxa"/>
            <w:vMerge w:val="restart"/>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宗地大小</w:t>
            </w:r>
          </w:p>
        </w:tc>
        <w:tc>
          <w:tcPr>
            <w:tcW w:w="1341"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指标说明</w:t>
            </w:r>
          </w:p>
        </w:tc>
        <w:tc>
          <w:tcPr>
            <w:tcW w:w="1141"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宗地面积大，利于开发利用</w:t>
            </w:r>
          </w:p>
        </w:tc>
        <w:tc>
          <w:tcPr>
            <w:tcW w:w="127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宗地面积较大，较利于开发</w:t>
            </w:r>
          </w:p>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利用</w:t>
            </w:r>
          </w:p>
        </w:tc>
        <w:tc>
          <w:tcPr>
            <w:tcW w:w="138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宗地面积适中，开发利用情况一般</w:t>
            </w:r>
          </w:p>
        </w:tc>
        <w:tc>
          <w:tcPr>
            <w:tcW w:w="1388"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宗地面积偏小，较不利于开发利用</w:t>
            </w:r>
          </w:p>
        </w:tc>
        <w:tc>
          <w:tcPr>
            <w:tcW w:w="1442"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宗地面积过小，不利于开发利用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44" w:hRule="atLeast"/>
          <w:jc w:val="center"/>
        </w:trPr>
        <w:tc>
          <w:tcPr>
            <w:tcW w:w="1102"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lang w:val="zh-CN"/>
              </w:rPr>
            </w:pPr>
          </w:p>
        </w:tc>
        <w:tc>
          <w:tcPr>
            <w:tcW w:w="1341"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141"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w:t>
            </w:r>
          </w:p>
        </w:tc>
        <w:tc>
          <w:tcPr>
            <w:tcW w:w="127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w:t>
            </w:r>
          </w:p>
        </w:tc>
        <w:tc>
          <w:tcPr>
            <w:tcW w:w="138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388"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w:t>
            </w:r>
          </w:p>
        </w:tc>
        <w:tc>
          <w:tcPr>
            <w:tcW w:w="1442"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089" w:hRule="atLeast"/>
          <w:jc w:val="center"/>
        </w:trPr>
        <w:tc>
          <w:tcPr>
            <w:tcW w:w="1102" w:type="dxa"/>
            <w:vMerge w:val="restart"/>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宗地形状</w:t>
            </w:r>
          </w:p>
        </w:tc>
        <w:tc>
          <w:tcPr>
            <w:tcW w:w="1341"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指标说明</w:t>
            </w:r>
          </w:p>
        </w:tc>
        <w:tc>
          <w:tcPr>
            <w:tcW w:w="1141"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形状规则对土地利用极为有</w:t>
            </w:r>
          </w:p>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利</w:t>
            </w:r>
          </w:p>
        </w:tc>
        <w:tc>
          <w:tcPr>
            <w:tcW w:w="127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形状较规则，对土地利用较</w:t>
            </w:r>
          </w:p>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为有利</w:t>
            </w:r>
          </w:p>
        </w:tc>
        <w:tc>
          <w:tcPr>
            <w:tcW w:w="138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形状基本规则，对土地利用无不良</w:t>
            </w:r>
          </w:p>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影响</w:t>
            </w:r>
          </w:p>
        </w:tc>
        <w:tc>
          <w:tcPr>
            <w:tcW w:w="1388"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形状较不规则，对土地利用有一定</w:t>
            </w:r>
          </w:p>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影响</w:t>
            </w:r>
          </w:p>
        </w:tc>
        <w:tc>
          <w:tcPr>
            <w:tcW w:w="1442"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形状不规则，对土地利用产生严</w:t>
            </w:r>
          </w:p>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重影响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44" w:hRule="atLeast"/>
          <w:jc w:val="center"/>
        </w:trPr>
        <w:tc>
          <w:tcPr>
            <w:tcW w:w="1102"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1341"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141"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w:t>
            </w:r>
          </w:p>
        </w:tc>
        <w:tc>
          <w:tcPr>
            <w:tcW w:w="127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w:t>
            </w:r>
          </w:p>
        </w:tc>
        <w:tc>
          <w:tcPr>
            <w:tcW w:w="138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388"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w:t>
            </w:r>
          </w:p>
        </w:tc>
        <w:tc>
          <w:tcPr>
            <w:tcW w:w="1442"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18" w:hRule="atLeast"/>
          <w:jc w:val="center"/>
        </w:trPr>
        <w:tc>
          <w:tcPr>
            <w:tcW w:w="1102" w:type="dxa"/>
            <w:vMerge w:val="restart"/>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宗地地基承载力</w:t>
            </w:r>
          </w:p>
        </w:tc>
        <w:tc>
          <w:tcPr>
            <w:tcW w:w="1341"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指标说明</w:t>
            </w:r>
          </w:p>
        </w:tc>
        <w:tc>
          <w:tcPr>
            <w:tcW w:w="1141"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宗地地基承载力好</w:t>
            </w:r>
          </w:p>
        </w:tc>
        <w:tc>
          <w:tcPr>
            <w:tcW w:w="127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宗地地基承载力较</w:t>
            </w:r>
          </w:p>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好</w:t>
            </w:r>
          </w:p>
        </w:tc>
        <w:tc>
          <w:tcPr>
            <w:tcW w:w="138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宗地地基承载力适宜</w:t>
            </w:r>
          </w:p>
        </w:tc>
        <w:tc>
          <w:tcPr>
            <w:tcW w:w="1388"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宗地地基承载力较差</w:t>
            </w:r>
          </w:p>
        </w:tc>
        <w:tc>
          <w:tcPr>
            <w:tcW w:w="1442"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宗地地基承载力差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44" w:hRule="atLeast"/>
          <w:jc w:val="center"/>
        </w:trPr>
        <w:tc>
          <w:tcPr>
            <w:tcW w:w="1102"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1341"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141"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w:t>
            </w:r>
          </w:p>
        </w:tc>
        <w:tc>
          <w:tcPr>
            <w:tcW w:w="127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w:t>
            </w:r>
          </w:p>
        </w:tc>
        <w:tc>
          <w:tcPr>
            <w:tcW w:w="138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388"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w:t>
            </w:r>
          </w:p>
        </w:tc>
        <w:tc>
          <w:tcPr>
            <w:tcW w:w="1442"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089" w:hRule="atLeast"/>
          <w:jc w:val="center"/>
        </w:trPr>
        <w:tc>
          <w:tcPr>
            <w:tcW w:w="1102" w:type="dxa"/>
            <w:vMerge w:val="restart"/>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景观条件</w:t>
            </w:r>
          </w:p>
        </w:tc>
        <w:tc>
          <w:tcPr>
            <w:tcW w:w="1341"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指标说明</w:t>
            </w:r>
          </w:p>
        </w:tc>
        <w:tc>
          <w:tcPr>
            <w:tcW w:w="1141"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景观条件好，对土地利用极</w:t>
            </w:r>
          </w:p>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为有利</w:t>
            </w:r>
          </w:p>
        </w:tc>
        <w:tc>
          <w:tcPr>
            <w:tcW w:w="127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景观条件良好，对土地利用</w:t>
            </w:r>
          </w:p>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较为有利</w:t>
            </w:r>
          </w:p>
        </w:tc>
        <w:tc>
          <w:tcPr>
            <w:tcW w:w="138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景观条件一般，对土地利用无不良</w:t>
            </w:r>
          </w:p>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影响</w:t>
            </w:r>
          </w:p>
        </w:tc>
        <w:tc>
          <w:tcPr>
            <w:tcW w:w="1388"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景观条件较差，对土地利用有一定</w:t>
            </w:r>
          </w:p>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影响</w:t>
            </w:r>
          </w:p>
        </w:tc>
        <w:tc>
          <w:tcPr>
            <w:tcW w:w="1442"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景观条件差，对土地利用产生严</w:t>
            </w:r>
          </w:p>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重影响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46" w:hRule="atLeast"/>
          <w:jc w:val="center"/>
        </w:trPr>
        <w:tc>
          <w:tcPr>
            <w:tcW w:w="1102"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1341"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141"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w:t>
            </w:r>
          </w:p>
        </w:tc>
        <w:tc>
          <w:tcPr>
            <w:tcW w:w="127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w:t>
            </w:r>
          </w:p>
        </w:tc>
        <w:tc>
          <w:tcPr>
            <w:tcW w:w="138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388"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w:t>
            </w:r>
          </w:p>
        </w:tc>
        <w:tc>
          <w:tcPr>
            <w:tcW w:w="1442"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46" w:hRule="atLeast"/>
          <w:jc w:val="center"/>
        </w:trPr>
        <w:tc>
          <w:tcPr>
            <w:tcW w:w="1102" w:type="dxa"/>
            <w:vMerge w:val="restart"/>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地形</w:t>
            </w:r>
          </w:p>
        </w:tc>
        <w:tc>
          <w:tcPr>
            <w:tcW w:w="1341"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指标说明</w:t>
            </w:r>
          </w:p>
        </w:tc>
        <w:tc>
          <w:tcPr>
            <w:tcW w:w="1141"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lang w:val="zh-CN"/>
              </w:rPr>
              <w:t>地形平坦，可直接开发利用</w:t>
            </w:r>
          </w:p>
        </w:tc>
        <w:tc>
          <w:tcPr>
            <w:tcW w:w="127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lang w:val="zh-CN"/>
              </w:rPr>
              <w:t>地形较平坦</w:t>
            </w:r>
          </w:p>
        </w:tc>
        <w:tc>
          <w:tcPr>
            <w:tcW w:w="138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lang w:val="zh-CN"/>
              </w:rPr>
              <w:t>地形对土地利用无不良影响</w:t>
            </w:r>
          </w:p>
        </w:tc>
        <w:tc>
          <w:tcPr>
            <w:tcW w:w="1388"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lang w:val="zh-CN"/>
              </w:rPr>
              <w:t>有一定地形坡度和起伏，对土地利用有一定影响</w:t>
            </w:r>
          </w:p>
        </w:tc>
        <w:tc>
          <w:tcPr>
            <w:tcW w:w="1442"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lang w:val="zh-CN"/>
              </w:rPr>
              <w:t>地形起伏、坡度较大，对土地利用产生严重影响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46" w:hRule="atLeast"/>
          <w:jc w:val="center"/>
        </w:trPr>
        <w:tc>
          <w:tcPr>
            <w:tcW w:w="1102"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1341"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141"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w:t>
            </w:r>
          </w:p>
        </w:tc>
        <w:tc>
          <w:tcPr>
            <w:tcW w:w="127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w:t>
            </w:r>
          </w:p>
        </w:tc>
        <w:tc>
          <w:tcPr>
            <w:tcW w:w="138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388"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w:t>
            </w:r>
          </w:p>
        </w:tc>
        <w:tc>
          <w:tcPr>
            <w:tcW w:w="1442"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46" w:hRule="atLeast"/>
          <w:jc w:val="center"/>
        </w:trPr>
        <w:tc>
          <w:tcPr>
            <w:tcW w:w="1102" w:type="dxa"/>
            <w:vMerge w:val="restart"/>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地势</w:t>
            </w:r>
          </w:p>
        </w:tc>
        <w:tc>
          <w:tcPr>
            <w:tcW w:w="1341"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指标说明</w:t>
            </w:r>
          </w:p>
        </w:tc>
        <w:tc>
          <w:tcPr>
            <w:tcW w:w="1141"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lang w:val="zh-CN"/>
              </w:rPr>
              <w:t>地势较高，排水通风条件好，出入口设置仍然便利</w:t>
            </w:r>
          </w:p>
        </w:tc>
        <w:tc>
          <w:tcPr>
            <w:tcW w:w="127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lang w:val="zh-CN"/>
              </w:rPr>
              <w:t>地势一般，通风排水条件一般，不影响出入口设置</w:t>
            </w:r>
          </w:p>
        </w:tc>
        <w:tc>
          <w:tcPr>
            <w:tcW w:w="138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lang w:val="zh-CN"/>
              </w:rPr>
              <w:t>地势一般，排水通风条件一般</w:t>
            </w:r>
          </w:p>
        </w:tc>
        <w:tc>
          <w:tcPr>
            <w:tcW w:w="1388"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lang w:val="zh-CN"/>
              </w:rPr>
              <w:t>地势偏高，对出入通道设置有一定影响</w:t>
            </w:r>
          </w:p>
        </w:tc>
        <w:tc>
          <w:tcPr>
            <w:tcW w:w="1442"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lang w:val="zh-CN"/>
              </w:rPr>
              <w:t>地势偏低，不利于通风排水和出入口设置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46" w:hRule="atLeast"/>
          <w:jc w:val="center"/>
        </w:trPr>
        <w:tc>
          <w:tcPr>
            <w:tcW w:w="1102"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1341"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141"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w:t>
            </w:r>
          </w:p>
        </w:tc>
        <w:tc>
          <w:tcPr>
            <w:tcW w:w="127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w:t>
            </w:r>
          </w:p>
        </w:tc>
        <w:tc>
          <w:tcPr>
            <w:tcW w:w="138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388"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w:t>
            </w:r>
          </w:p>
        </w:tc>
        <w:tc>
          <w:tcPr>
            <w:tcW w:w="1442"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w:t>
            </w:r>
          </w:p>
        </w:tc>
      </w:tr>
    </w:tbl>
    <w:p>
      <w:pPr>
        <w:numPr>
          <w:ilvl w:val="0"/>
          <w:numId w:val="5"/>
        </w:numPr>
        <w:tabs>
          <w:tab w:val="left" w:pos="0"/>
        </w:tabs>
        <w:spacing w:before="72" w:after="72"/>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土地剩余使用年期修正</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土地剩余使用年期修正公式为：</w:t>
      </w:r>
    </w:p>
    <w:p>
      <w:pPr>
        <w:autoSpaceDE/>
        <w:autoSpaceDN/>
        <w:spacing w:line="240" w:lineRule="auto"/>
        <w:ind w:firstLine="0" w:firstLineChars="0"/>
        <w:jc w:val="center"/>
        <w:rPr>
          <w:rFonts w:cs="仿宋"/>
          <w:position w:val="-36"/>
        </w:rPr>
      </w:pPr>
      <w:r>
        <w:rPr>
          <w:rFonts w:hint="eastAsia" w:cs="仿宋"/>
          <w:position w:val="-36"/>
        </w:rPr>
        <w:object>
          <v:shape id="_x0000_i1040" o:spt="75" type="#_x0000_t75" style="height:41.9pt;width:165.5pt;" o:ole="t" filled="f" o:preferrelative="t" stroked="f" coordsize="21600,21600">
            <v:path/>
            <v:fill on="f" focussize="0,0"/>
            <v:stroke on="f" joinstyle="miter"/>
            <v:imagedata r:id="rId45" o:title=""/>
            <o:lock v:ext="edit" aspectratio="t"/>
            <w10:wrap type="none"/>
            <w10:anchorlock/>
          </v:shape>
          <o:OLEObject Type="Embed" ProgID="Equation.3" ShapeID="_x0000_i1040" DrawAspect="Content" ObjectID="_1468075740" r:id="rId44">
            <o:LockedField>false</o:LockedField>
          </o:OLEObject>
        </w:object>
      </w:r>
    </w:p>
    <w:p>
      <w:pPr>
        <w:rPr>
          <w:rFonts w:ascii="仿宋_GB2312" w:hAnsi="仿宋_GB2312" w:eastAsia="仿宋_GB2312" w:cs="仿宋_GB2312"/>
          <w:sz w:val="24"/>
        </w:rPr>
      </w:pPr>
      <w:r>
        <w:rPr>
          <w:rFonts w:hint="eastAsia" w:ascii="仿宋_GB2312" w:hAnsi="仿宋_GB2312" w:eastAsia="仿宋_GB2312" w:cs="仿宋_GB2312"/>
          <w:sz w:val="24"/>
        </w:rPr>
        <w:t>式中：</w:t>
      </w:r>
      <w:r>
        <w:rPr>
          <w:rFonts w:hint="eastAsia" w:ascii="仿宋_GB2312" w:hAnsi="仿宋_GB2312" w:eastAsia="仿宋_GB2312" w:cs="仿宋_GB2312"/>
          <w:position w:val="-4"/>
          <w:sz w:val="24"/>
        </w:rPr>
        <w:object>
          <v:shape id="_x0000_i1041" o:spt="75" type="#_x0000_t75" style="height:9.65pt;width:8.6pt;" o:ole="t" filled="f" o:preferrelative="t" stroked="f" coordsize="21600,21600">
            <v:path/>
            <v:fill on="f" focussize="0,0"/>
            <v:stroke on="f" joinstyle="miter"/>
            <v:imagedata r:id="rId47" o:title=""/>
            <o:lock v:ext="edit" aspectratio="t"/>
            <w10:wrap type="none"/>
            <w10:anchorlock/>
          </v:shape>
          <o:OLEObject Type="Embed" ProgID="Equation.3" ShapeID="_x0000_i1041" DrawAspect="Content" ObjectID="_1468075741" r:id="rId46">
            <o:LockedField>false</o:LockedField>
          </o:OLEObject>
        </w:object>
      </w:r>
      <w:r>
        <w:rPr>
          <w:rFonts w:hint="eastAsia" w:ascii="仿宋_GB2312" w:hAnsi="仿宋_GB2312" w:eastAsia="仿宋_GB2312" w:cs="仿宋_GB2312"/>
          <w:sz w:val="24"/>
        </w:rPr>
        <w:t>——土地还原率；</w:t>
      </w:r>
      <w:r>
        <w:rPr>
          <w:rFonts w:hint="eastAsia" w:ascii="仿宋_GB2312" w:hAnsi="仿宋_GB2312" w:eastAsia="仿宋_GB2312" w:cs="仿宋_GB2312"/>
          <w:position w:val="-6"/>
          <w:sz w:val="24"/>
        </w:rPr>
        <w:object>
          <v:shape id="_x0000_i1042" o:spt="75" type="#_x0000_t75" style="height:10.75pt;width:12.9pt;" o:ole="t" filled="f" o:preferrelative="t" stroked="f" coordsize="21600,21600">
            <v:path/>
            <v:fill on="f" focussize="0,0"/>
            <v:stroke on="f" joinstyle="miter"/>
            <v:imagedata r:id="rId49" o:title=""/>
            <o:lock v:ext="edit" aspectratio="t"/>
            <w10:wrap type="none"/>
            <w10:anchorlock/>
          </v:shape>
          <o:OLEObject Type="Embed" ProgID="Equation.3" ShapeID="_x0000_i1042" DrawAspect="Content" ObjectID="_1468075742" r:id="rId48">
            <o:LockedField>false</o:LockedField>
          </o:OLEObject>
        </w:object>
      </w:r>
      <w:r>
        <w:rPr>
          <w:rFonts w:hint="eastAsia" w:ascii="仿宋_GB2312" w:hAnsi="仿宋_GB2312" w:eastAsia="仿宋_GB2312" w:cs="仿宋_GB2312"/>
          <w:sz w:val="24"/>
        </w:rPr>
        <w:t>——土地使用权法定最高出让年限50年；</w:t>
      </w:r>
    </w:p>
    <w:p>
      <w:pPr>
        <w:ind w:firstLine="1200" w:firstLineChars="500"/>
        <w:rPr>
          <w:rFonts w:ascii="仿宋_GB2312" w:hAnsi="仿宋_GB2312" w:eastAsia="仿宋_GB2312" w:cs="仿宋_GB2312"/>
          <w:sz w:val="24"/>
        </w:rPr>
      </w:pPr>
      <w:r>
        <w:rPr>
          <w:rFonts w:hint="eastAsia" w:ascii="仿宋_GB2312" w:hAnsi="仿宋_GB2312" w:eastAsia="仿宋_GB2312" w:cs="仿宋_GB2312"/>
          <w:position w:val="-6"/>
          <w:sz w:val="24"/>
        </w:rPr>
        <w:object>
          <v:shape id="_x0000_i1043" o:spt="75" type="#_x0000_t75" style="height:10.75pt;width:9.65pt;" o:ole="t" filled="f" o:preferrelative="t" stroked="f" coordsize="21600,21600">
            <v:path/>
            <v:fill on="f" focussize="0,0"/>
            <v:stroke on="f" joinstyle="miter"/>
            <v:imagedata r:id="rId51" o:title=""/>
            <o:lock v:ext="edit" aspectratio="t"/>
            <w10:wrap type="none"/>
            <w10:anchorlock/>
          </v:shape>
          <o:OLEObject Type="Embed" ProgID="Equation.3" ShapeID="_x0000_i1043" DrawAspect="Content" ObjectID="_1468075743" r:id="rId50">
            <o:LockedField>false</o:LockedField>
          </o:OLEObject>
        </w:object>
      </w:r>
      <w:r>
        <w:rPr>
          <w:rFonts w:hint="eastAsia" w:ascii="仿宋_GB2312" w:hAnsi="仿宋_GB2312" w:eastAsia="仿宋_GB2312" w:cs="仿宋_GB2312"/>
          <w:sz w:val="24"/>
        </w:rPr>
        <w:t>——土地剩余使用年期；</w:t>
      </w:r>
      <w:r>
        <w:rPr>
          <w:rFonts w:hint="eastAsia" w:ascii="仿宋_GB2312" w:hAnsi="仿宋_GB2312" w:eastAsia="仿宋_GB2312" w:cs="仿宋_GB2312"/>
          <w:position w:val="-4"/>
          <w:sz w:val="24"/>
        </w:rPr>
        <w:object>
          <v:shape id="_x0000_i1044" o:spt="75" type="#_x0000_t75" style="height:12.9pt;width:10.75pt;" o:ole="t" filled="f" o:preferrelative="t" stroked="f" coordsize="21600,21600">
            <v:path/>
            <v:fill on="f" focussize="0,0"/>
            <v:stroke on="f" joinstyle="miter"/>
            <v:imagedata r:id="rId53" o:title=""/>
            <o:lock v:ext="edit" aspectratio="t"/>
            <w10:wrap type="none"/>
            <w10:anchorlock/>
          </v:shape>
          <o:OLEObject Type="Embed" ProgID="Equation.3" ShapeID="_x0000_i1044" DrawAspect="Content" ObjectID="_1468075744" r:id="rId52">
            <o:LockedField>false</o:LockedField>
          </o:OLEObject>
        </w:object>
      </w:r>
      <w:r>
        <w:rPr>
          <w:rFonts w:hint="eastAsia" w:ascii="仿宋_GB2312" w:hAnsi="仿宋_GB2312" w:eastAsia="仿宋_GB2312" w:cs="仿宋_GB2312"/>
          <w:sz w:val="24"/>
        </w:rPr>
        <w:t>——土地剩余使用年期修正系数</w:t>
      </w: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城区公共服务用地使用年期修正系数表(土地还原率为5%)</w:t>
      </w:r>
    </w:p>
    <w:tbl>
      <w:tblPr>
        <w:tblStyle w:val="114"/>
        <w:tblW w:w="9070" w:type="dxa"/>
        <w:jc w:val="center"/>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10"/>
        <w:gridCol w:w="882"/>
        <w:gridCol w:w="796"/>
        <w:gridCol w:w="796"/>
        <w:gridCol w:w="796"/>
        <w:gridCol w:w="796"/>
        <w:gridCol w:w="795"/>
        <w:gridCol w:w="796"/>
        <w:gridCol w:w="795"/>
        <w:gridCol w:w="795"/>
        <w:gridCol w:w="81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97" w:hRule="atLeast"/>
          <w:jc w:val="center"/>
        </w:trPr>
        <w:tc>
          <w:tcPr>
            <w:tcW w:w="1010"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剩余年期</w:t>
            </w:r>
          </w:p>
        </w:tc>
        <w:tc>
          <w:tcPr>
            <w:tcW w:w="88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w:t>
            </w:r>
          </w:p>
        </w:tc>
        <w:tc>
          <w:tcPr>
            <w:tcW w:w="79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6</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7</w:t>
            </w:r>
          </w:p>
        </w:tc>
        <w:tc>
          <w:tcPr>
            <w:tcW w:w="79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8</w:t>
            </w:r>
          </w:p>
        </w:tc>
        <w:tc>
          <w:tcPr>
            <w:tcW w:w="79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9</w:t>
            </w:r>
          </w:p>
        </w:tc>
        <w:tc>
          <w:tcPr>
            <w:tcW w:w="81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97" w:hRule="atLeast"/>
          <w:jc w:val="center"/>
        </w:trPr>
        <w:tc>
          <w:tcPr>
            <w:tcW w:w="1010"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88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0.0522</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0.1019</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0.1492</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0.1942</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0.2372</w:t>
            </w:r>
          </w:p>
        </w:tc>
        <w:tc>
          <w:tcPr>
            <w:tcW w:w="79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0.278</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0.317</w:t>
            </w:r>
          </w:p>
        </w:tc>
        <w:tc>
          <w:tcPr>
            <w:tcW w:w="79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0.354</w:t>
            </w:r>
          </w:p>
        </w:tc>
        <w:tc>
          <w:tcPr>
            <w:tcW w:w="79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0.3893</w:t>
            </w:r>
          </w:p>
        </w:tc>
        <w:tc>
          <w:tcPr>
            <w:tcW w:w="81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0.423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97" w:hRule="atLeast"/>
          <w:jc w:val="center"/>
        </w:trPr>
        <w:tc>
          <w:tcPr>
            <w:tcW w:w="1010"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剩余年期</w:t>
            </w:r>
          </w:p>
        </w:tc>
        <w:tc>
          <w:tcPr>
            <w:tcW w:w="88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11</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14</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15</w:t>
            </w:r>
          </w:p>
        </w:tc>
        <w:tc>
          <w:tcPr>
            <w:tcW w:w="79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16</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17</w:t>
            </w:r>
          </w:p>
        </w:tc>
        <w:tc>
          <w:tcPr>
            <w:tcW w:w="79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w:t>
            </w:r>
          </w:p>
        </w:tc>
        <w:tc>
          <w:tcPr>
            <w:tcW w:w="79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19</w:t>
            </w:r>
          </w:p>
        </w:tc>
        <w:tc>
          <w:tcPr>
            <w:tcW w:w="81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97" w:hRule="atLeast"/>
          <w:jc w:val="center"/>
        </w:trPr>
        <w:tc>
          <w:tcPr>
            <w:tcW w:w="1010"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88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0.455</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0.4855</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0.5145</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0.5422</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0.5686</w:t>
            </w:r>
          </w:p>
        </w:tc>
        <w:tc>
          <w:tcPr>
            <w:tcW w:w="79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0.5937</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0.6176</w:t>
            </w:r>
          </w:p>
        </w:tc>
        <w:tc>
          <w:tcPr>
            <w:tcW w:w="79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0.6403</w:t>
            </w:r>
          </w:p>
        </w:tc>
        <w:tc>
          <w:tcPr>
            <w:tcW w:w="79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0.662</w:t>
            </w:r>
          </w:p>
        </w:tc>
        <w:tc>
          <w:tcPr>
            <w:tcW w:w="81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0.6826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97" w:hRule="atLeast"/>
          <w:jc w:val="center"/>
        </w:trPr>
        <w:tc>
          <w:tcPr>
            <w:tcW w:w="1010"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剩余年期</w:t>
            </w:r>
          </w:p>
        </w:tc>
        <w:tc>
          <w:tcPr>
            <w:tcW w:w="88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21</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22</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23</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24</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25</w:t>
            </w:r>
          </w:p>
        </w:tc>
        <w:tc>
          <w:tcPr>
            <w:tcW w:w="79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26</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27</w:t>
            </w:r>
          </w:p>
        </w:tc>
        <w:tc>
          <w:tcPr>
            <w:tcW w:w="79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28</w:t>
            </w:r>
          </w:p>
        </w:tc>
        <w:tc>
          <w:tcPr>
            <w:tcW w:w="79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29</w:t>
            </w:r>
          </w:p>
        </w:tc>
        <w:tc>
          <w:tcPr>
            <w:tcW w:w="81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97" w:hRule="atLeast"/>
          <w:jc w:val="center"/>
        </w:trPr>
        <w:tc>
          <w:tcPr>
            <w:tcW w:w="1010"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88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0.7023</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0.721</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0.7389</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0.7558</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0.772</w:t>
            </w:r>
          </w:p>
        </w:tc>
        <w:tc>
          <w:tcPr>
            <w:tcW w:w="79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0.7874</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0.8021</w:t>
            </w:r>
          </w:p>
        </w:tc>
        <w:tc>
          <w:tcPr>
            <w:tcW w:w="79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0.8161</w:t>
            </w:r>
          </w:p>
        </w:tc>
        <w:tc>
          <w:tcPr>
            <w:tcW w:w="79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0.8294</w:t>
            </w:r>
          </w:p>
        </w:tc>
        <w:tc>
          <w:tcPr>
            <w:tcW w:w="81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0.8421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97" w:hRule="atLeast"/>
          <w:jc w:val="center"/>
        </w:trPr>
        <w:tc>
          <w:tcPr>
            <w:tcW w:w="1010"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剩余年期</w:t>
            </w:r>
          </w:p>
        </w:tc>
        <w:tc>
          <w:tcPr>
            <w:tcW w:w="88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31</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32</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33</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34</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35</w:t>
            </w:r>
          </w:p>
        </w:tc>
        <w:tc>
          <w:tcPr>
            <w:tcW w:w="79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36</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37</w:t>
            </w:r>
          </w:p>
        </w:tc>
        <w:tc>
          <w:tcPr>
            <w:tcW w:w="79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38</w:t>
            </w:r>
          </w:p>
        </w:tc>
        <w:tc>
          <w:tcPr>
            <w:tcW w:w="79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39</w:t>
            </w:r>
          </w:p>
        </w:tc>
        <w:tc>
          <w:tcPr>
            <w:tcW w:w="81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97" w:hRule="atLeast"/>
          <w:jc w:val="center"/>
        </w:trPr>
        <w:tc>
          <w:tcPr>
            <w:tcW w:w="1010"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88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0.8541</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0.8656</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0.8766</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0.887</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0.8969</w:t>
            </w:r>
          </w:p>
        </w:tc>
        <w:tc>
          <w:tcPr>
            <w:tcW w:w="79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0.9064</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0.9154</w:t>
            </w:r>
          </w:p>
        </w:tc>
        <w:tc>
          <w:tcPr>
            <w:tcW w:w="79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0.924</w:t>
            </w:r>
          </w:p>
        </w:tc>
        <w:tc>
          <w:tcPr>
            <w:tcW w:w="79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0.9321</w:t>
            </w:r>
          </w:p>
        </w:tc>
        <w:tc>
          <w:tcPr>
            <w:tcW w:w="81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0.9399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97" w:hRule="atLeast"/>
          <w:jc w:val="center"/>
        </w:trPr>
        <w:tc>
          <w:tcPr>
            <w:tcW w:w="1010"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剩余年期</w:t>
            </w:r>
          </w:p>
        </w:tc>
        <w:tc>
          <w:tcPr>
            <w:tcW w:w="88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41</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42</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43</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44</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45</w:t>
            </w:r>
          </w:p>
        </w:tc>
        <w:tc>
          <w:tcPr>
            <w:tcW w:w="79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46</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47</w:t>
            </w:r>
          </w:p>
        </w:tc>
        <w:tc>
          <w:tcPr>
            <w:tcW w:w="79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48</w:t>
            </w:r>
          </w:p>
        </w:tc>
        <w:tc>
          <w:tcPr>
            <w:tcW w:w="79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49</w:t>
            </w:r>
          </w:p>
        </w:tc>
        <w:tc>
          <w:tcPr>
            <w:tcW w:w="81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397" w:hRule="atLeast"/>
          <w:jc w:val="center"/>
        </w:trPr>
        <w:tc>
          <w:tcPr>
            <w:tcW w:w="1010"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88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0.9473</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0.9544</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0.9611</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0.9675</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0.9736</w:t>
            </w:r>
          </w:p>
        </w:tc>
        <w:tc>
          <w:tcPr>
            <w:tcW w:w="79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0.9794</w:t>
            </w:r>
          </w:p>
        </w:tc>
        <w:tc>
          <w:tcPr>
            <w:tcW w:w="7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0.9849</w:t>
            </w:r>
          </w:p>
        </w:tc>
        <w:tc>
          <w:tcPr>
            <w:tcW w:w="79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0.9902</w:t>
            </w:r>
          </w:p>
        </w:tc>
        <w:tc>
          <w:tcPr>
            <w:tcW w:w="79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0.9952</w:t>
            </w:r>
          </w:p>
        </w:tc>
        <w:tc>
          <w:tcPr>
            <w:tcW w:w="81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w:t>
            </w:r>
          </w:p>
        </w:tc>
      </w:tr>
    </w:tbl>
    <w:p>
      <w:pPr>
        <w:numPr>
          <w:ilvl w:val="0"/>
          <w:numId w:val="5"/>
        </w:numPr>
        <w:tabs>
          <w:tab w:val="left" w:pos="0"/>
        </w:tabs>
        <w:spacing w:before="72" w:after="72"/>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土地开发程度修正（同商服用地，详见上文）</w:t>
      </w:r>
    </w:p>
    <w:p>
      <w:pPr>
        <w:adjustRightInd w:val="0"/>
        <w:spacing w:line="580" w:lineRule="exact"/>
        <w:ind w:firstLine="640"/>
        <w:rPr>
          <w:rFonts w:ascii="楷体_GB2312" w:hAnsi="楷体_GB2312" w:eastAsia="楷体_GB2312" w:cs="楷体_GB2312"/>
          <w:snapToGrid w:val="0"/>
          <w:color w:val="000000"/>
          <w:kern w:val="0"/>
          <w:sz w:val="32"/>
          <w:szCs w:val="32"/>
        </w:rPr>
      </w:pPr>
      <w:bookmarkStart w:id="102" w:name="_Toc7954"/>
      <w:r>
        <w:rPr>
          <w:rFonts w:hint="eastAsia" w:ascii="楷体_GB2312" w:hAnsi="楷体_GB2312" w:eastAsia="楷体_GB2312" w:cs="楷体_GB2312"/>
          <w:snapToGrid w:val="0"/>
          <w:color w:val="000000"/>
          <w:kern w:val="0"/>
          <w:sz w:val="32"/>
          <w:szCs w:val="32"/>
        </w:rPr>
        <w:t>（五）城区公用设施用地宗地地价修正体系</w:t>
      </w:r>
      <w:bookmarkEnd w:id="102"/>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公用设施用地主要是指公用供水用地、排水用地、供电用地、供燃气用地、供热用地、通信用地、邮政用地、广播电视、设施用地、环卫用地、消防用地、干渠、水工设施用地、其他公用设施用地及公园绿地、防护绿地、广场用地。该类型对容积率的敏感度较低，容积率不作为影响公用设施用地地价的主要因素，在此公用设施用地不考虑容积率修正。</w:t>
      </w:r>
    </w:p>
    <w:p>
      <w:pPr>
        <w:numPr>
          <w:ilvl w:val="0"/>
          <w:numId w:val="6"/>
        </w:numPr>
        <w:tabs>
          <w:tab w:val="left" w:pos="0"/>
        </w:tabs>
        <w:spacing w:before="72" w:after="72"/>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区域因素修正系数</w:t>
      </w: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公用设施用地区域因素修正系数表（一级）</w:t>
      </w:r>
    </w:p>
    <w:tbl>
      <w:tblPr>
        <w:tblStyle w:val="47"/>
        <w:tblW w:w="9286" w:type="dxa"/>
        <w:jc w:val="center"/>
        <w:tblInd w:w="0" w:type="dxa"/>
        <w:tblLayout w:type="fixed"/>
        <w:tblCellMar>
          <w:top w:w="0" w:type="dxa"/>
          <w:left w:w="108" w:type="dxa"/>
          <w:bottom w:w="0" w:type="dxa"/>
          <w:right w:w="108" w:type="dxa"/>
        </w:tblCellMar>
      </w:tblPr>
      <w:tblGrid>
        <w:gridCol w:w="1662"/>
        <w:gridCol w:w="1619"/>
        <w:gridCol w:w="1619"/>
        <w:gridCol w:w="1517"/>
        <w:gridCol w:w="1451"/>
        <w:gridCol w:w="1418"/>
      </w:tblGrid>
      <w:tr>
        <w:tblPrEx>
          <w:tblLayout w:type="fixed"/>
          <w:tblCellMar>
            <w:top w:w="0" w:type="dxa"/>
            <w:left w:w="108" w:type="dxa"/>
            <w:bottom w:w="0" w:type="dxa"/>
            <w:right w:w="108" w:type="dxa"/>
          </w:tblCellMar>
        </w:tblPrEx>
        <w:trPr>
          <w:trHeight w:val="397" w:hRule="atLeast"/>
          <w:tblHeader/>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因素/优劣度</w:t>
            </w:r>
          </w:p>
        </w:tc>
        <w:tc>
          <w:tcPr>
            <w:tcW w:w="161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优</w:t>
            </w:r>
          </w:p>
        </w:tc>
        <w:tc>
          <w:tcPr>
            <w:tcW w:w="161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较优</w:t>
            </w:r>
          </w:p>
        </w:tc>
        <w:tc>
          <w:tcPr>
            <w:tcW w:w="151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一般</w:t>
            </w:r>
          </w:p>
        </w:tc>
        <w:tc>
          <w:tcPr>
            <w:tcW w:w="145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较劣</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劣</w:t>
            </w:r>
          </w:p>
        </w:tc>
      </w:tr>
      <w:tr>
        <w:tblPrEx>
          <w:tblLayout w:type="fixed"/>
          <w:tblCellMar>
            <w:top w:w="0" w:type="dxa"/>
            <w:left w:w="108" w:type="dxa"/>
            <w:bottom w:w="0" w:type="dxa"/>
            <w:right w:w="108" w:type="dxa"/>
          </w:tblCellMar>
        </w:tblPrEx>
        <w:trPr>
          <w:trHeight w:val="397"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交通条件</w:t>
            </w:r>
          </w:p>
        </w:tc>
        <w:tc>
          <w:tcPr>
            <w:tcW w:w="161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道路通达度高，距汽车站、货运站、高速公路出入口近，对外交通便利</w:t>
            </w:r>
          </w:p>
        </w:tc>
        <w:tc>
          <w:tcPr>
            <w:tcW w:w="161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道路通达度较高，距汽车站、货运站、高速公路出入口较近，对外交通较便利</w:t>
            </w:r>
          </w:p>
        </w:tc>
        <w:tc>
          <w:tcPr>
            <w:tcW w:w="151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道路通达度一般，距汽车站、货运站、高速公路出入口一般，对外交通一般</w:t>
            </w:r>
          </w:p>
        </w:tc>
        <w:tc>
          <w:tcPr>
            <w:tcW w:w="145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道路通达度较低，距汽车站、货运站、高速公路出入口较远，对外交通较差</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道路通达度低，距汽车站、货运站、高速公路出入口远，对外交通差</w:t>
            </w:r>
          </w:p>
        </w:tc>
      </w:tr>
      <w:tr>
        <w:tblPrEx>
          <w:tblLayout w:type="fixed"/>
          <w:tblCellMar>
            <w:top w:w="0" w:type="dxa"/>
            <w:left w:w="108" w:type="dxa"/>
            <w:bottom w:w="0" w:type="dxa"/>
            <w:right w:w="108" w:type="dxa"/>
          </w:tblCellMar>
        </w:tblPrEx>
        <w:trPr>
          <w:trHeight w:val="397"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61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5.4232%</w:t>
            </w:r>
          </w:p>
        </w:tc>
        <w:tc>
          <w:tcPr>
            <w:tcW w:w="161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2.7116%</w:t>
            </w:r>
          </w:p>
        </w:tc>
        <w:tc>
          <w:tcPr>
            <w:tcW w:w="151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45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-2.7116%</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-5.4232%</w:t>
            </w:r>
          </w:p>
        </w:tc>
      </w:tr>
      <w:tr>
        <w:tblPrEx>
          <w:tblLayout w:type="fixed"/>
          <w:tblCellMar>
            <w:top w:w="0" w:type="dxa"/>
            <w:left w:w="108" w:type="dxa"/>
            <w:bottom w:w="0" w:type="dxa"/>
            <w:right w:w="108" w:type="dxa"/>
          </w:tblCellMar>
        </w:tblPrEx>
        <w:trPr>
          <w:trHeight w:val="397"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基本设施状况</w:t>
            </w:r>
          </w:p>
        </w:tc>
        <w:tc>
          <w:tcPr>
            <w:tcW w:w="161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市政供水，供电保证率高，排水状况好</w:t>
            </w:r>
          </w:p>
        </w:tc>
        <w:tc>
          <w:tcPr>
            <w:tcW w:w="161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市政供水，供电保证率较高，排水状况较好</w:t>
            </w:r>
          </w:p>
        </w:tc>
        <w:tc>
          <w:tcPr>
            <w:tcW w:w="151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市政供水，供电保证率一般，排水状况一般</w:t>
            </w:r>
          </w:p>
        </w:tc>
        <w:tc>
          <w:tcPr>
            <w:tcW w:w="145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市政供水，供电保证率较低，排水状况较差</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市政供水，供电保证率低，排水状况差</w:t>
            </w:r>
          </w:p>
        </w:tc>
      </w:tr>
      <w:tr>
        <w:tblPrEx>
          <w:tblLayout w:type="fixed"/>
          <w:tblCellMar>
            <w:top w:w="0" w:type="dxa"/>
            <w:left w:w="108" w:type="dxa"/>
            <w:bottom w:w="0" w:type="dxa"/>
            <w:right w:w="108" w:type="dxa"/>
          </w:tblCellMar>
        </w:tblPrEx>
        <w:trPr>
          <w:trHeight w:val="397"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61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4.8039%</w:t>
            </w:r>
          </w:p>
        </w:tc>
        <w:tc>
          <w:tcPr>
            <w:tcW w:w="161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2.4019%</w:t>
            </w:r>
          </w:p>
        </w:tc>
        <w:tc>
          <w:tcPr>
            <w:tcW w:w="151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45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-2.4019%</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-4.8039%</w:t>
            </w:r>
          </w:p>
        </w:tc>
      </w:tr>
      <w:tr>
        <w:tblPrEx>
          <w:tblLayout w:type="fixed"/>
          <w:tblCellMar>
            <w:top w:w="0" w:type="dxa"/>
            <w:left w:w="108" w:type="dxa"/>
            <w:bottom w:w="0" w:type="dxa"/>
            <w:right w:w="108" w:type="dxa"/>
          </w:tblCellMar>
        </w:tblPrEx>
        <w:trPr>
          <w:trHeight w:val="397"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环境条件</w:t>
            </w:r>
          </w:p>
        </w:tc>
        <w:tc>
          <w:tcPr>
            <w:tcW w:w="161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地形、地貌、地质等情况好</w:t>
            </w:r>
          </w:p>
        </w:tc>
        <w:tc>
          <w:tcPr>
            <w:tcW w:w="161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地形、地貌、地质等情况较好</w:t>
            </w:r>
          </w:p>
        </w:tc>
        <w:tc>
          <w:tcPr>
            <w:tcW w:w="151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地形、地貌、地质等情况一般</w:t>
            </w:r>
          </w:p>
        </w:tc>
        <w:tc>
          <w:tcPr>
            <w:tcW w:w="145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地形、地貌、地质等情况较差</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地形、地貌、地质等情况差</w:t>
            </w:r>
          </w:p>
        </w:tc>
      </w:tr>
      <w:tr>
        <w:tblPrEx>
          <w:tblLayout w:type="fixed"/>
          <w:tblCellMar>
            <w:top w:w="0" w:type="dxa"/>
            <w:left w:w="108" w:type="dxa"/>
            <w:bottom w:w="0" w:type="dxa"/>
            <w:right w:w="108" w:type="dxa"/>
          </w:tblCellMar>
        </w:tblPrEx>
        <w:trPr>
          <w:trHeight w:val="397"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61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3.5865%</w:t>
            </w:r>
          </w:p>
        </w:tc>
        <w:tc>
          <w:tcPr>
            <w:tcW w:w="161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1.7932%</w:t>
            </w:r>
          </w:p>
        </w:tc>
        <w:tc>
          <w:tcPr>
            <w:tcW w:w="151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45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-1.7932%</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-3.5865%</w:t>
            </w:r>
          </w:p>
        </w:tc>
      </w:tr>
      <w:tr>
        <w:tblPrEx>
          <w:tblLayout w:type="fixed"/>
          <w:tblCellMar>
            <w:top w:w="0" w:type="dxa"/>
            <w:left w:w="108" w:type="dxa"/>
            <w:bottom w:w="0" w:type="dxa"/>
            <w:right w:w="108" w:type="dxa"/>
          </w:tblCellMar>
        </w:tblPrEx>
        <w:trPr>
          <w:trHeight w:val="397"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人口状况</w:t>
            </w:r>
          </w:p>
        </w:tc>
        <w:tc>
          <w:tcPr>
            <w:tcW w:w="161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人口密度高</w:t>
            </w:r>
          </w:p>
        </w:tc>
        <w:tc>
          <w:tcPr>
            <w:tcW w:w="161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人口密度较高</w:t>
            </w:r>
          </w:p>
        </w:tc>
        <w:tc>
          <w:tcPr>
            <w:tcW w:w="151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人口密度一般</w:t>
            </w:r>
          </w:p>
        </w:tc>
        <w:tc>
          <w:tcPr>
            <w:tcW w:w="145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人口密度较低</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人口密度低</w:t>
            </w:r>
          </w:p>
        </w:tc>
      </w:tr>
      <w:tr>
        <w:tblPrEx>
          <w:tblLayout w:type="fixed"/>
          <w:tblCellMar>
            <w:top w:w="0" w:type="dxa"/>
            <w:left w:w="108" w:type="dxa"/>
            <w:bottom w:w="0" w:type="dxa"/>
            <w:right w:w="108" w:type="dxa"/>
          </w:tblCellMar>
        </w:tblPrEx>
        <w:trPr>
          <w:trHeight w:val="397"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61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2.7871%</w:t>
            </w:r>
          </w:p>
        </w:tc>
        <w:tc>
          <w:tcPr>
            <w:tcW w:w="161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1.3935%</w:t>
            </w:r>
          </w:p>
        </w:tc>
        <w:tc>
          <w:tcPr>
            <w:tcW w:w="151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45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-1.3935%</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-2.7871%</w:t>
            </w:r>
          </w:p>
        </w:tc>
      </w:tr>
      <w:tr>
        <w:tblPrEx>
          <w:tblLayout w:type="fixed"/>
          <w:tblCellMar>
            <w:top w:w="0" w:type="dxa"/>
            <w:left w:w="108" w:type="dxa"/>
            <w:bottom w:w="0" w:type="dxa"/>
            <w:right w:w="108" w:type="dxa"/>
          </w:tblCellMar>
        </w:tblPrEx>
        <w:trPr>
          <w:trHeight w:val="397"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城市规划</w:t>
            </w:r>
          </w:p>
        </w:tc>
        <w:tc>
          <w:tcPr>
            <w:tcW w:w="161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规划前景好</w:t>
            </w:r>
          </w:p>
        </w:tc>
        <w:tc>
          <w:tcPr>
            <w:tcW w:w="161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规划前景较好</w:t>
            </w:r>
          </w:p>
        </w:tc>
        <w:tc>
          <w:tcPr>
            <w:tcW w:w="151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规划前景一般</w:t>
            </w:r>
          </w:p>
        </w:tc>
        <w:tc>
          <w:tcPr>
            <w:tcW w:w="145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规划前景较差</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规划前景差</w:t>
            </w:r>
          </w:p>
        </w:tc>
      </w:tr>
      <w:tr>
        <w:tblPrEx>
          <w:tblLayout w:type="fixed"/>
          <w:tblCellMar>
            <w:top w:w="0" w:type="dxa"/>
            <w:left w:w="108" w:type="dxa"/>
            <w:bottom w:w="0" w:type="dxa"/>
            <w:right w:w="108" w:type="dxa"/>
          </w:tblCellMar>
        </w:tblPrEx>
        <w:trPr>
          <w:trHeight w:val="397"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61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2.7523%</w:t>
            </w:r>
          </w:p>
        </w:tc>
        <w:tc>
          <w:tcPr>
            <w:tcW w:w="161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1.3761%</w:t>
            </w:r>
          </w:p>
        </w:tc>
        <w:tc>
          <w:tcPr>
            <w:tcW w:w="151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45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-1.3761%</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-2.7523%</w:t>
            </w:r>
          </w:p>
        </w:tc>
      </w:tr>
    </w:tbl>
    <w:p>
      <w:pPr>
        <w:spacing w:line="60" w:lineRule="exact"/>
        <w:ind w:firstLine="560"/>
      </w:pP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公用设施用地区域因素修正系数表（二级）</w:t>
      </w:r>
    </w:p>
    <w:tbl>
      <w:tblPr>
        <w:tblStyle w:val="47"/>
        <w:tblW w:w="9280" w:type="dxa"/>
        <w:jc w:val="center"/>
        <w:tblInd w:w="0" w:type="dxa"/>
        <w:tblLayout w:type="fixed"/>
        <w:tblCellMar>
          <w:top w:w="0" w:type="dxa"/>
          <w:left w:w="108" w:type="dxa"/>
          <w:bottom w:w="0" w:type="dxa"/>
          <w:right w:w="108" w:type="dxa"/>
        </w:tblCellMar>
      </w:tblPr>
      <w:tblGrid>
        <w:gridCol w:w="1759"/>
        <w:gridCol w:w="1622"/>
        <w:gridCol w:w="1607"/>
        <w:gridCol w:w="1424"/>
        <w:gridCol w:w="1392"/>
        <w:gridCol w:w="1476"/>
      </w:tblGrid>
      <w:tr>
        <w:tblPrEx>
          <w:tblLayout w:type="fixed"/>
          <w:tblCellMar>
            <w:top w:w="0" w:type="dxa"/>
            <w:left w:w="108" w:type="dxa"/>
            <w:bottom w:w="0" w:type="dxa"/>
            <w:right w:w="108" w:type="dxa"/>
          </w:tblCellMar>
        </w:tblPrEx>
        <w:trPr>
          <w:trHeight w:val="285" w:hRule="atLeast"/>
          <w:jc w:val="center"/>
        </w:trPr>
        <w:tc>
          <w:tcPr>
            <w:tcW w:w="175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因素/优劣度</w:t>
            </w:r>
          </w:p>
        </w:tc>
        <w:tc>
          <w:tcPr>
            <w:tcW w:w="162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优</w:t>
            </w:r>
          </w:p>
        </w:tc>
        <w:tc>
          <w:tcPr>
            <w:tcW w:w="160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较优</w:t>
            </w:r>
          </w:p>
        </w:tc>
        <w:tc>
          <w:tcPr>
            <w:tcW w:w="14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一般</w:t>
            </w:r>
          </w:p>
        </w:tc>
        <w:tc>
          <w:tcPr>
            <w:tcW w:w="139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较劣</w:t>
            </w:r>
          </w:p>
        </w:tc>
        <w:tc>
          <w:tcPr>
            <w:tcW w:w="147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劣</w:t>
            </w:r>
          </w:p>
        </w:tc>
      </w:tr>
      <w:tr>
        <w:tblPrEx>
          <w:tblLayout w:type="fixed"/>
          <w:tblCellMar>
            <w:top w:w="0" w:type="dxa"/>
            <w:left w:w="108" w:type="dxa"/>
            <w:bottom w:w="0" w:type="dxa"/>
            <w:right w:w="108" w:type="dxa"/>
          </w:tblCellMar>
        </w:tblPrEx>
        <w:trPr>
          <w:trHeight w:val="297" w:hRule="atLeast"/>
          <w:jc w:val="center"/>
        </w:trPr>
        <w:tc>
          <w:tcPr>
            <w:tcW w:w="175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交通条件</w:t>
            </w:r>
          </w:p>
        </w:tc>
        <w:tc>
          <w:tcPr>
            <w:tcW w:w="162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道路通达度高，距汽车站、货运站、高速公路出入口近，对外交通便利</w:t>
            </w:r>
          </w:p>
        </w:tc>
        <w:tc>
          <w:tcPr>
            <w:tcW w:w="160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道路通达度较高，距汽车站、货运站、高速公路出入口较近，对外交通较便利</w:t>
            </w:r>
          </w:p>
        </w:tc>
        <w:tc>
          <w:tcPr>
            <w:tcW w:w="14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道路通达度一般，距汽车站、货运站、高速公路出入口一般，对外交通一般</w:t>
            </w:r>
          </w:p>
        </w:tc>
        <w:tc>
          <w:tcPr>
            <w:tcW w:w="139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道路通达度较低，距汽车站、货运站、高速公路出入口较远，对外交通较差</w:t>
            </w:r>
          </w:p>
        </w:tc>
        <w:tc>
          <w:tcPr>
            <w:tcW w:w="147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道路通达度低，距汽车站、货运站、高速公路出入口远，对外交通差</w:t>
            </w:r>
          </w:p>
        </w:tc>
      </w:tr>
      <w:tr>
        <w:tblPrEx>
          <w:tblLayout w:type="fixed"/>
          <w:tblCellMar>
            <w:top w:w="0" w:type="dxa"/>
            <w:left w:w="108" w:type="dxa"/>
            <w:bottom w:w="0" w:type="dxa"/>
            <w:right w:w="108" w:type="dxa"/>
          </w:tblCellMar>
        </w:tblPrEx>
        <w:trPr>
          <w:trHeight w:val="285" w:hRule="atLeast"/>
          <w:jc w:val="center"/>
        </w:trPr>
        <w:tc>
          <w:tcPr>
            <w:tcW w:w="175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62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5.0945%</w:t>
            </w:r>
          </w:p>
        </w:tc>
        <w:tc>
          <w:tcPr>
            <w:tcW w:w="160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2.5473%</w:t>
            </w:r>
          </w:p>
        </w:tc>
        <w:tc>
          <w:tcPr>
            <w:tcW w:w="14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39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-2.5473%</w:t>
            </w:r>
          </w:p>
        </w:tc>
        <w:tc>
          <w:tcPr>
            <w:tcW w:w="147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-5.0945%</w:t>
            </w:r>
          </w:p>
        </w:tc>
      </w:tr>
      <w:tr>
        <w:tblPrEx>
          <w:tblLayout w:type="fixed"/>
          <w:tblCellMar>
            <w:top w:w="0" w:type="dxa"/>
            <w:left w:w="108" w:type="dxa"/>
            <w:bottom w:w="0" w:type="dxa"/>
            <w:right w:w="108" w:type="dxa"/>
          </w:tblCellMar>
        </w:tblPrEx>
        <w:trPr>
          <w:trHeight w:val="1080" w:hRule="atLeast"/>
          <w:jc w:val="center"/>
        </w:trPr>
        <w:tc>
          <w:tcPr>
            <w:tcW w:w="175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基本设施状况</w:t>
            </w:r>
          </w:p>
        </w:tc>
        <w:tc>
          <w:tcPr>
            <w:tcW w:w="162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市政供水，供电保证率高，排水状况好</w:t>
            </w:r>
          </w:p>
        </w:tc>
        <w:tc>
          <w:tcPr>
            <w:tcW w:w="160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市政供水，供电保证率较高，排水状况较好</w:t>
            </w:r>
          </w:p>
        </w:tc>
        <w:tc>
          <w:tcPr>
            <w:tcW w:w="14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市政供水，供电保证率一般，排水状况一般</w:t>
            </w:r>
          </w:p>
        </w:tc>
        <w:tc>
          <w:tcPr>
            <w:tcW w:w="139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市政供水，供电保证率较低，排水状况较差</w:t>
            </w:r>
          </w:p>
        </w:tc>
        <w:tc>
          <w:tcPr>
            <w:tcW w:w="147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市政供水，供电保证率低，排水状况差</w:t>
            </w:r>
          </w:p>
        </w:tc>
      </w:tr>
      <w:tr>
        <w:tblPrEx>
          <w:tblLayout w:type="fixed"/>
          <w:tblCellMar>
            <w:top w:w="0" w:type="dxa"/>
            <w:left w:w="108" w:type="dxa"/>
            <w:bottom w:w="0" w:type="dxa"/>
            <w:right w:w="108" w:type="dxa"/>
          </w:tblCellMar>
        </w:tblPrEx>
        <w:trPr>
          <w:trHeight w:val="285" w:hRule="atLeast"/>
          <w:jc w:val="center"/>
        </w:trPr>
        <w:tc>
          <w:tcPr>
            <w:tcW w:w="175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62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4.5127%</w:t>
            </w:r>
          </w:p>
        </w:tc>
        <w:tc>
          <w:tcPr>
            <w:tcW w:w="160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2.2564%</w:t>
            </w:r>
          </w:p>
        </w:tc>
        <w:tc>
          <w:tcPr>
            <w:tcW w:w="14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39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-2.2564%</w:t>
            </w:r>
          </w:p>
        </w:tc>
        <w:tc>
          <w:tcPr>
            <w:tcW w:w="147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-4.5127%</w:t>
            </w:r>
          </w:p>
        </w:tc>
      </w:tr>
      <w:tr>
        <w:tblPrEx>
          <w:tblLayout w:type="fixed"/>
          <w:tblCellMar>
            <w:top w:w="0" w:type="dxa"/>
            <w:left w:w="108" w:type="dxa"/>
            <w:bottom w:w="0" w:type="dxa"/>
            <w:right w:w="108" w:type="dxa"/>
          </w:tblCellMar>
        </w:tblPrEx>
        <w:trPr>
          <w:trHeight w:val="320" w:hRule="atLeast"/>
          <w:jc w:val="center"/>
        </w:trPr>
        <w:tc>
          <w:tcPr>
            <w:tcW w:w="175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环境条件</w:t>
            </w:r>
          </w:p>
        </w:tc>
        <w:tc>
          <w:tcPr>
            <w:tcW w:w="162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地形、地貌、地质等情况好</w:t>
            </w:r>
          </w:p>
        </w:tc>
        <w:tc>
          <w:tcPr>
            <w:tcW w:w="160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地形、地貌、地质等情况较好</w:t>
            </w:r>
          </w:p>
        </w:tc>
        <w:tc>
          <w:tcPr>
            <w:tcW w:w="14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地形、地貌、地质等情况一般</w:t>
            </w:r>
          </w:p>
        </w:tc>
        <w:tc>
          <w:tcPr>
            <w:tcW w:w="139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地形、地貌、地质等情况较差</w:t>
            </w:r>
          </w:p>
        </w:tc>
        <w:tc>
          <w:tcPr>
            <w:tcW w:w="147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地形、地貌、地质等情况差</w:t>
            </w:r>
          </w:p>
        </w:tc>
      </w:tr>
      <w:tr>
        <w:tblPrEx>
          <w:tblLayout w:type="fixed"/>
          <w:tblCellMar>
            <w:top w:w="0" w:type="dxa"/>
            <w:left w:w="108" w:type="dxa"/>
            <w:bottom w:w="0" w:type="dxa"/>
            <w:right w:w="108" w:type="dxa"/>
          </w:tblCellMar>
        </w:tblPrEx>
        <w:trPr>
          <w:trHeight w:val="285" w:hRule="atLeast"/>
          <w:jc w:val="center"/>
        </w:trPr>
        <w:tc>
          <w:tcPr>
            <w:tcW w:w="175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62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3.3691%</w:t>
            </w:r>
          </w:p>
        </w:tc>
        <w:tc>
          <w:tcPr>
            <w:tcW w:w="160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1.6845%</w:t>
            </w:r>
          </w:p>
        </w:tc>
        <w:tc>
          <w:tcPr>
            <w:tcW w:w="14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39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-1.6845%</w:t>
            </w:r>
          </w:p>
        </w:tc>
        <w:tc>
          <w:tcPr>
            <w:tcW w:w="147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-3.3691%</w:t>
            </w:r>
          </w:p>
        </w:tc>
      </w:tr>
      <w:tr>
        <w:tblPrEx>
          <w:tblLayout w:type="fixed"/>
          <w:tblCellMar>
            <w:top w:w="0" w:type="dxa"/>
            <w:left w:w="108" w:type="dxa"/>
            <w:bottom w:w="0" w:type="dxa"/>
            <w:right w:w="108" w:type="dxa"/>
          </w:tblCellMar>
        </w:tblPrEx>
        <w:trPr>
          <w:trHeight w:val="540" w:hRule="atLeast"/>
          <w:jc w:val="center"/>
        </w:trPr>
        <w:tc>
          <w:tcPr>
            <w:tcW w:w="175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人口状况</w:t>
            </w:r>
          </w:p>
        </w:tc>
        <w:tc>
          <w:tcPr>
            <w:tcW w:w="162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人口密度高</w:t>
            </w:r>
          </w:p>
        </w:tc>
        <w:tc>
          <w:tcPr>
            <w:tcW w:w="160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人口密度较高</w:t>
            </w:r>
          </w:p>
        </w:tc>
        <w:tc>
          <w:tcPr>
            <w:tcW w:w="14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人口密度一般</w:t>
            </w:r>
          </w:p>
        </w:tc>
        <w:tc>
          <w:tcPr>
            <w:tcW w:w="139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人口密度较低</w:t>
            </w:r>
          </w:p>
        </w:tc>
        <w:tc>
          <w:tcPr>
            <w:tcW w:w="147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人口密度低</w:t>
            </w:r>
          </w:p>
        </w:tc>
      </w:tr>
      <w:tr>
        <w:tblPrEx>
          <w:tblLayout w:type="fixed"/>
          <w:tblCellMar>
            <w:top w:w="0" w:type="dxa"/>
            <w:left w:w="108" w:type="dxa"/>
            <w:bottom w:w="0" w:type="dxa"/>
            <w:right w:w="108" w:type="dxa"/>
          </w:tblCellMar>
        </w:tblPrEx>
        <w:trPr>
          <w:trHeight w:val="341" w:hRule="atLeast"/>
          <w:jc w:val="center"/>
        </w:trPr>
        <w:tc>
          <w:tcPr>
            <w:tcW w:w="175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62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2.6182%</w:t>
            </w:r>
          </w:p>
        </w:tc>
        <w:tc>
          <w:tcPr>
            <w:tcW w:w="160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1.3091%</w:t>
            </w:r>
          </w:p>
        </w:tc>
        <w:tc>
          <w:tcPr>
            <w:tcW w:w="14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39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-1.3091%</w:t>
            </w:r>
          </w:p>
        </w:tc>
        <w:tc>
          <w:tcPr>
            <w:tcW w:w="147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-2.6182%</w:t>
            </w:r>
          </w:p>
        </w:tc>
      </w:tr>
      <w:tr>
        <w:tblPrEx>
          <w:tblLayout w:type="fixed"/>
          <w:tblCellMar>
            <w:top w:w="0" w:type="dxa"/>
            <w:left w:w="108" w:type="dxa"/>
            <w:bottom w:w="0" w:type="dxa"/>
            <w:right w:w="108" w:type="dxa"/>
          </w:tblCellMar>
        </w:tblPrEx>
        <w:trPr>
          <w:trHeight w:val="540" w:hRule="atLeast"/>
          <w:jc w:val="center"/>
        </w:trPr>
        <w:tc>
          <w:tcPr>
            <w:tcW w:w="175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城市规划</w:t>
            </w:r>
          </w:p>
        </w:tc>
        <w:tc>
          <w:tcPr>
            <w:tcW w:w="162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规划前景好</w:t>
            </w:r>
          </w:p>
        </w:tc>
        <w:tc>
          <w:tcPr>
            <w:tcW w:w="160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规划前景较好</w:t>
            </w:r>
          </w:p>
        </w:tc>
        <w:tc>
          <w:tcPr>
            <w:tcW w:w="14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规划前景一般</w:t>
            </w:r>
          </w:p>
        </w:tc>
        <w:tc>
          <w:tcPr>
            <w:tcW w:w="139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规划前景较差</w:t>
            </w:r>
          </w:p>
        </w:tc>
        <w:tc>
          <w:tcPr>
            <w:tcW w:w="147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规划前景差</w:t>
            </w:r>
          </w:p>
        </w:tc>
      </w:tr>
      <w:tr>
        <w:tblPrEx>
          <w:tblLayout w:type="fixed"/>
          <w:tblCellMar>
            <w:top w:w="0" w:type="dxa"/>
            <w:left w:w="108" w:type="dxa"/>
            <w:bottom w:w="0" w:type="dxa"/>
            <w:right w:w="108" w:type="dxa"/>
          </w:tblCellMar>
        </w:tblPrEx>
        <w:trPr>
          <w:trHeight w:val="285" w:hRule="atLeast"/>
          <w:jc w:val="center"/>
        </w:trPr>
        <w:tc>
          <w:tcPr>
            <w:tcW w:w="175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62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2.5855%</w:t>
            </w:r>
          </w:p>
        </w:tc>
        <w:tc>
          <w:tcPr>
            <w:tcW w:w="160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1.2927%</w:t>
            </w:r>
          </w:p>
        </w:tc>
        <w:tc>
          <w:tcPr>
            <w:tcW w:w="14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39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-1.2927%</w:t>
            </w:r>
          </w:p>
        </w:tc>
        <w:tc>
          <w:tcPr>
            <w:tcW w:w="147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-2.5855%</w:t>
            </w:r>
          </w:p>
        </w:tc>
      </w:tr>
    </w:tbl>
    <w:p>
      <w:pPr>
        <w:spacing w:line="60" w:lineRule="exact"/>
        <w:ind w:firstLine="560"/>
      </w:pP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公用设施用地区域因素修正系数表（三级）</w:t>
      </w:r>
    </w:p>
    <w:tbl>
      <w:tblPr>
        <w:tblStyle w:val="47"/>
        <w:tblW w:w="9286" w:type="dxa"/>
        <w:jc w:val="center"/>
        <w:tblInd w:w="0" w:type="dxa"/>
        <w:tblLayout w:type="fixed"/>
        <w:tblCellMar>
          <w:top w:w="0" w:type="dxa"/>
          <w:left w:w="108" w:type="dxa"/>
          <w:bottom w:w="0" w:type="dxa"/>
          <w:right w:w="108" w:type="dxa"/>
        </w:tblCellMar>
      </w:tblPr>
      <w:tblGrid>
        <w:gridCol w:w="1761"/>
        <w:gridCol w:w="1623"/>
        <w:gridCol w:w="1606"/>
        <w:gridCol w:w="1424"/>
        <w:gridCol w:w="1393"/>
        <w:gridCol w:w="1479"/>
      </w:tblGrid>
      <w:tr>
        <w:tblPrEx>
          <w:tblLayout w:type="fixed"/>
          <w:tblCellMar>
            <w:top w:w="0" w:type="dxa"/>
            <w:left w:w="108" w:type="dxa"/>
            <w:bottom w:w="0" w:type="dxa"/>
            <w:right w:w="108" w:type="dxa"/>
          </w:tblCellMar>
        </w:tblPrEx>
        <w:trPr>
          <w:trHeight w:val="397" w:hRule="atLeast"/>
          <w:tblHeader/>
          <w:jc w:val="center"/>
        </w:trPr>
        <w:tc>
          <w:tcPr>
            <w:tcW w:w="176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因素/优劣度</w:t>
            </w:r>
          </w:p>
        </w:tc>
        <w:tc>
          <w:tcPr>
            <w:tcW w:w="16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优</w:t>
            </w:r>
          </w:p>
        </w:tc>
        <w:tc>
          <w:tcPr>
            <w:tcW w:w="160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较优</w:t>
            </w:r>
          </w:p>
        </w:tc>
        <w:tc>
          <w:tcPr>
            <w:tcW w:w="14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一般</w:t>
            </w:r>
          </w:p>
        </w:tc>
        <w:tc>
          <w:tcPr>
            <w:tcW w:w="139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较劣</w:t>
            </w:r>
          </w:p>
        </w:tc>
        <w:tc>
          <w:tcPr>
            <w:tcW w:w="147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劣</w:t>
            </w:r>
          </w:p>
        </w:tc>
      </w:tr>
      <w:tr>
        <w:tblPrEx>
          <w:tblLayout w:type="fixed"/>
          <w:tblCellMar>
            <w:top w:w="0" w:type="dxa"/>
            <w:left w:w="108" w:type="dxa"/>
            <w:bottom w:w="0" w:type="dxa"/>
            <w:right w:w="108" w:type="dxa"/>
          </w:tblCellMar>
        </w:tblPrEx>
        <w:trPr>
          <w:trHeight w:val="397" w:hRule="atLeast"/>
          <w:jc w:val="center"/>
        </w:trPr>
        <w:tc>
          <w:tcPr>
            <w:tcW w:w="176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交通条件</w:t>
            </w:r>
          </w:p>
        </w:tc>
        <w:tc>
          <w:tcPr>
            <w:tcW w:w="16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道路通达度高，距汽车站、货运站、高速公路出入口近，对外交通便利</w:t>
            </w:r>
          </w:p>
        </w:tc>
        <w:tc>
          <w:tcPr>
            <w:tcW w:w="160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道路通达度较高，距汽车站、货运站、高速公路出入口较近，对外交通较便利</w:t>
            </w:r>
          </w:p>
        </w:tc>
        <w:tc>
          <w:tcPr>
            <w:tcW w:w="14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道路通达度一般，距汽车站、货运站、高速公路出入口一般，对外交通一般</w:t>
            </w:r>
          </w:p>
        </w:tc>
        <w:tc>
          <w:tcPr>
            <w:tcW w:w="139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道路通达度较低，距汽车站、货运站、高速公路出入口较远，对外交通较差</w:t>
            </w:r>
          </w:p>
        </w:tc>
        <w:tc>
          <w:tcPr>
            <w:tcW w:w="147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道路通达度低，距汽车站、货运站、高速公路出入口远，对外交通差</w:t>
            </w:r>
          </w:p>
        </w:tc>
      </w:tr>
      <w:tr>
        <w:tblPrEx>
          <w:tblLayout w:type="fixed"/>
          <w:tblCellMar>
            <w:top w:w="0" w:type="dxa"/>
            <w:left w:w="108" w:type="dxa"/>
            <w:bottom w:w="0" w:type="dxa"/>
            <w:right w:w="108" w:type="dxa"/>
          </w:tblCellMar>
        </w:tblPrEx>
        <w:trPr>
          <w:trHeight w:val="397" w:hRule="atLeast"/>
          <w:jc w:val="center"/>
        </w:trPr>
        <w:tc>
          <w:tcPr>
            <w:tcW w:w="176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6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4.9447%</w:t>
            </w:r>
          </w:p>
        </w:tc>
        <w:tc>
          <w:tcPr>
            <w:tcW w:w="160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2.4724%</w:t>
            </w:r>
          </w:p>
        </w:tc>
        <w:tc>
          <w:tcPr>
            <w:tcW w:w="14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39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-2.4724%</w:t>
            </w:r>
          </w:p>
        </w:tc>
        <w:tc>
          <w:tcPr>
            <w:tcW w:w="147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-4.9447%</w:t>
            </w:r>
          </w:p>
        </w:tc>
      </w:tr>
      <w:tr>
        <w:tblPrEx>
          <w:tblLayout w:type="fixed"/>
          <w:tblCellMar>
            <w:top w:w="0" w:type="dxa"/>
            <w:left w:w="108" w:type="dxa"/>
            <w:bottom w:w="0" w:type="dxa"/>
            <w:right w:w="108" w:type="dxa"/>
          </w:tblCellMar>
        </w:tblPrEx>
        <w:trPr>
          <w:trHeight w:val="397" w:hRule="atLeast"/>
          <w:jc w:val="center"/>
        </w:trPr>
        <w:tc>
          <w:tcPr>
            <w:tcW w:w="176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基本设施状况</w:t>
            </w:r>
          </w:p>
        </w:tc>
        <w:tc>
          <w:tcPr>
            <w:tcW w:w="16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市政供水，供电保证率高，排水状况好</w:t>
            </w:r>
          </w:p>
        </w:tc>
        <w:tc>
          <w:tcPr>
            <w:tcW w:w="160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市政供水，供电保证率较高，排水状况较好</w:t>
            </w:r>
          </w:p>
        </w:tc>
        <w:tc>
          <w:tcPr>
            <w:tcW w:w="14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市政供水，供电保证率一般，排水状况一般</w:t>
            </w:r>
          </w:p>
        </w:tc>
        <w:tc>
          <w:tcPr>
            <w:tcW w:w="139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市政供水，供电保证率较低，排水状况较差</w:t>
            </w:r>
          </w:p>
        </w:tc>
        <w:tc>
          <w:tcPr>
            <w:tcW w:w="147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市政供水，供电保证率低，排水状况差</w:t>
            </w:r>
          </w:p>
        </w:tc>
      </w:tr>
      <w:tr>
        <w:tblPrEx>
          <w:tblLayout w:type="fixed"/>
          <w:tblCellMar>
            <w:top w:w="0" w:type="dxa"/>
            <w:left w:w="108" w:type="dxa"/>
            <w:bottom w:w="0" w:type="dxa"/>
            <w:right w:w="108" w:type="dxa"/>
          </w:tblCellMar>
        </w:tblPrEx>
        <w:trPr>
          <w:trHeight w:val="397" w:hRule="atLeast"/>
          <w:jc w:val="center"/>
        </w:trPr>
        <w:tc>
          <w:tcPr>
            <w:tcW w:w="176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6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4.3800%</w:t>
            </w:r>
          </w:p>
        </w:tc>
        <w:tc>
          <w:tcPr>
            <w:tcW w:w="160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2.1900%</w:t>
            </w:r>
          </w:p>
        </w:tc>
        <w:tc>
          <w:tcPr>
            <w:tcW w:w="14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39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-2.1900%</w:t>
            </w:r>
          </w:p>
        </w:tc>
        <w:tc>
          <w:tcPr>
            <w:tcW w:w="147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-4.3800%</w:t>
            </w:r>
          </w:p>
        </w:tc>
      </w:tr>
      <w:tr>
        <w:tblPrEx>
          <w:tblLayout w:type="fixed"/>
          <w:tblCellMar>
            <w:top w:w="0" w:type="dxa"/>
            <w:left w:w="108" w:type="dxa"/>
            <w:bottom w:w="0" w:type="dxa"/>
            <w:right w:w="108" w:type="dxa"/>
          </w:tblCellMar>
        </w:tblPrEx>
        <w:trPr>
          <w:trHeight w:val="397" w:hRule="atLeast"/>
          <w:jc w:val="center"/>
        </w:trPr>
        <w:tc>
          <w:tcPr>
            <w:tcW w:w="176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环境条件</w:t>
            </w:r>
          </w:p>
        </w:tc>
        <w:tc>
          <w:tcPr>
            <w:tcW w:w="16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地形、地貌、地质等情况好</w:t>
            </w:r>
          </w:p>
        </w:tc>
        <w:tc>
          <w:tcPr>
            <w:tcW w:w="160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地形、地貌、地质等情况较好</w:t>
            </w:r>
          </w:p>
        </w:tc>
        <w:tc>
          <w:tcPr>
            <w:tcW w:w="14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地形、地貌、地质等情况一般</w:t>
            </w:r>
          </w:p>
        </w:tc>
        <w:tc>
          <w:tcPr>
            <w:tcW w:w="139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地形、地貌、地质等情况较差</w:t>
            </w:r>
          </w:p>
        </w:tc>
        <w:tc>
          <w:tcPr>
            <w:tcW w:w="147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地形、地貌、地质等情况差</w:t>
            </w:r>
          </w:p>
        </w:tc>
      </w:tr>
      <w:tr>
        <w:tblPrEx>
          <w:tblLayout w:type="fixed"/>
          <w:tblCellMar>
            <w:top w:w="0" w:type="dxa"/>
            <w:left w:w="108" w:type="dxa"/>
            <w:bottom w:w="0" w:type="dxa"/>
            <w:right w:w="108" w:type="dxa"/>
          </w:tblCellMar>
        </w:tblPrEx>
        <w:trPr>
          <w:trHeight w:val="397" w:hRule="atLeast"/>
          <w:jc w:val="center"/>
        </w:trPr>
        <w:tc>
          <w:tcPr>
            <w:tcW w:w="176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6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3.2700%</w:t>
            </w:r>
          </w:p>
        </w:tc>
        <w:tc>
          <w:tcPr>
            <w:tcW w:w="160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1.6350%</w:t>
            </w:r>
          </w:p>
        </w:tc>
        <w:tc>
          <w:tcPr>
            <w:tcW w:w="14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39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-1.6350%</w:t>
            </w:r>
          </w:p>
        </w:tc>
        <w:tc>
          <w:tcPr>
            <w:tcW w:w="147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-3.2700%</w:t>
            </w:r>
          </w:p>
        </w:tc>
      </w:tr>
      <w:tr>
        <w:tblPrEx>
          <w:tblLayout w:type="fixed"/>
          <w:tblCellMar>
            <w:top w:w="0" w:type="dxa"/>
            <w:left w:w="108" w:type="dxa"/>
            <w:bottom w:w="0" w:type="dxa"/>
            <w:right w:w="108" w:type="dxa"/>
          </w:tblCellMar>
        </w:tblPrEx>
        <w:trPr>
          <w:trHeight w:val="397" w:hRule="atLeast"/>
          <w:jc w:val="center"/>
        </w:trPr>
        <w:tc>
          <w:tcPr>
            <w:tcW w:w="176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人口状况</w:t>
            </w:r>
          </w:p>
        </w:tc>
        <w:tc>
          <w:tcPr>
            <w:tcW w:w="16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人口密度高</w:t>
            </w:r>
          </w:p>
        </w:tc>
        <w:tc>
          <w:tcPr>
            <w:tcW w:w="160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人口密度较高</w:t>
            </w:r>
          </w:p>
        </w:tc>
        <w:tc>
          <w:tcPr>
            <w:tcW w:w="14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人口密度一般</w:t>
            </w:r>
          </w:p>
        </w:tc>
        <w:tc>
          <w:tcPr>
            <w:tcW w:w="139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人口密度较低</w:t>
            </w:r>
          </w:p>
        </w:tc>
        <w:tc>
          <w:tcPr>
            <w:tcW w:w="147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人口密度低</w:t>
            </w:r>
          </w:p>
        </w:tc>
      </w:tr>
      <w:tr>
        <w:tblPrEx>
          <w:tblLayout w:type="fixed"/>
          <w:tblCellMar>
            <w:top w:w="0" w:type="dxa"/>
            <w:left w:w="108" w:type="dxa"/>
            <w:bottom w:w="0" w:type="dxa"/>
            <w:right w:w="108" w:type="dxa"/>
          </w:tblCellMar>
        </w:tblPrEx>
        <w:trPr>
          <w:trHeight w:val="397" w:hRule="atLeast"/>
          <w:jc w:val="center"/>
        </w:trPr>
        <w:tc>
          <w:tcPr>
            <w:tcW w:w="176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6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2.5412%</w:t>
            </w:r>
          </w:p>
        </w:tc>
        <w:tc>
          <w:tcPr>
            <w:tcW w:w="160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1.2706%</w:t>
            </w:r>
          </w:p>
        </w:tc>
        <w:tc>
          <w:tcPr>
            <w:tcW w:w="14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39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-1.2706%</w:t>
            </w:r>
          </w:p>
        </w:tc>
        <w:tc>
          <w:tcPr>
            <w:tcW w:w="147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-2.5412%</w:t>
            </w:r>
          </w:p>
        </w:tc>
      </w:tr>
      <w:tr>
        <w:tblPrEx>
          <w:tblLayout w:type="fixed"/>
          <w:tblCellMar>
            <w:top w:w="0" w:type="dxa"/>
            <w:left w:w="108" w:type="dxa"/>
            <w:bottom w:w="0" w:type="dxa"/>
            <w:right w:w="108" w:type="dxa"/>
          </w:tblCellMar>
        </w:tblPrEx>
        <w:trPr>
          <w:trHeight w:val="397" w:hRule="atLeast"/>
          <w:jc w:val="center"/>
        </w:trPr>
        <w:tc>
          <w:tcPr>
            <w:tcW w:w="176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城市规划</w:t>
            </w:r>
          </w:p>
        </w:tc>
        <w:tc>
          <w:tcPr>
            <w:tcW w:w="16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规划前景好</w:t>
            </w:r>
          </w:p>
        </w:tc>
        <w:tc>
          <w:tcPr>
            <w:tcW w:w="160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规划前景较好</w:t>
            </w:r>
          </w:p>
        </w:tc>
        <w:tc>
          <w:tcPr>
            <w:tcW w:w="14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规划前景一般</w:t>
            </w:r>
          </w:p>
        </w:tc>
        <w:tc>
          <w:tcPr>
            <w:tcW w:w="139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规划前景较差</w:t>
            </w:r>
          </w:p>
        </w:tc>
        <w:tc>
          <w:tcPr>
            <w:tcW w:w="147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规划前景差</w:t>
            </w:r>
          </w:p>
        </w:tc>
      </w:tr>
      <w:tr>
        <w:tblPrEx>
          <w:tblLayout w:type="fixed"/>
          <w:tblCellMar>
            <w:top w:w="0" w:type="dxa"/>
            <w:left w:w="108" w:type="dxa"/>
            <w:bottom w:w="0" w:type="dxa"/>
            <w:right w:w="108" w:type="dxa"/>
          </w:tblCellMar>
        </w:tblPrEx>
        <w:trPr>
          <w:trHeight w:val="397" w:hRule="atLeast"/>
          <w:jc w:val="center"/>
        </w:trPr>
        <w:tc>
          <w:tcPr>
            <w:tcW w:w="176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62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2.5094%</w:t>
            </w:r>
          </w:p>
        </w:tc>
        <w:tc>
          <w:tcPr>
            <w:tcW w:w="160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1.2547%</w:t>
            </w:r>
          </w:p>
        </w:tc>
        <w:tc>
          <w:tcPr>
            <w:tcW w:w="14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393"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-1.2547%</w:t>
            </w:r>
          </w:p>
        </w:tc>
        <w:tc>
          <w:tcPr>
            <w:tcW w:w="147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-2.5094%</w:t>
            </w:r>
          </w:p>
        </w:tc>
      </w:tr>
    </w:tbl>
    <w:p>
      <w:pPr>
        <w:numPr>
          <w:ilvl w:val="0"/>
          <w:numId w:val="6"/>
        </w:numPr>
        <w:tabs>
          <w:tab w:val="left" w:pos="0"/>
        </w:tabs>
        <w:spacing w:before="72" w:after="72"/>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其他个别因素修正</w:t>
      </w: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其他个别因素修正系数表</w:t>
      </w:r>
    </w:p>
    <w:tbl>
      <w:tblPr>
        <w:tblStyle w:val="47"/>
        <w:tblW w:w="907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96"/>
        <w:gridCol w:w="1337"/>
        <w:gridCol w:w="1362"/>
        <w:gridCol w:w="1362"/>
        <w:gridCol w:w="1312"/>
        <w:gridCol w:w="1293"/>
        <w:gridCol w:w="13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2433" w:type="dxa"/>
            <w:gridSpan w:val="2"/>
            <w:tcBorders>
              <w:top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指标标准</w:t>
            </w:r>
          </w:p>
        </w:tc>
        <w:tc>
          <w:tcPr>
            <w:tcW w:w="1362" w:type="dxa"/>
            <w:tcBorders>
              <w:top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优</w:t>
            </w:r>
          </w:p>
        </w:tc>
        <w:tc>
          <w:tcPr>
            <w:tcW w:w="1362" w:type="dxa"/>
            <w:tcBorders>
              <w:top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较优</w:t>
            </w:r>
          </w:p>
        </w:tc>
        <w:tc>
          <w:tcPr>
            <w:tcW w:w="1312" w:type="dxa"/>
            <w:tcBorders>
              <w:top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一般</w:t>
            </w:r>
          </w:p>
        </w:tc>
        <w:tc>
          <w:tcPr>
            <w:tcW w:w="1293" w:type="dxa"/>
            <w:tcBorders>
              <w:top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较劣</w:t>
            </w:r>
          </w:p>
        </w:tc>
        <w:tc>
          <w:tcPr>
            <w:tcW w:w="1308" w:type="dxa"/>
            <w:tcBorders>
              <w:top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096" w:type="dxa"/>
            <w:vMerge w:val="restart"/>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宗地形状</w:t>
            </w:r>
          </w:p>
        </w:tc>
        <w:tc>
          <w:tcPr>
            <w:tcW w:w="133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指标说明</w:t>
            </w:r>
          </w:p>
        </w:tc>
        <w:tc>
          <w:tcPr>
            <w:tcW w:w="1362"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形状规则，对土地利用极为有利</w:t>
            </w:r>
          </w:p>
        </w:tc>
        <w:tc>
          <w:tcPr>
            <w:tcW w:w="1362"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形状较规则，对土地利用较为有利</w:t>
            </w:r>
          </w:p>
        </w:tc>
        <w:tc>
          <w:tcPr>
            <w:tcW w:w="1312"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形状基本规则，对土地利用无不良影响</w:t>
            </w:r>
          </w:p>
        </w:tc>
        <w:tc>
          <w:tcPr>
            <w:tcW w:w="1293"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形状较不规则，对土地利用有一定影响</w:t>
            </w:r>
          </w:p>
        </w:tc>
        <w:tc>
          <w:tcPr>
            <w:tcW w:w="1308"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形状不规则，对土地利用产生严重影响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096"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133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362"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w:t>
            </w:r>
          </w:p>
        </w:tc>
        <w:tc>
          <w:tcPr>
            <w:tcW w:w="1362"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w:t>
            </w:r>
          </w:p>
        </w:tc>
        <w:tc>
          <w:tcPr>
            <w:tcW w:w="1312"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293"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w:t>
            </w:r>
          </w:p>
        </w:tc>
        <w:tc>
          <w:tcPr>
            <w:tcW w:w="1308"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096" w:type="dxa"/>
            <w:vMerge w:val="restart"/>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宗地地基承载力</w:t>
            </w:r>
          </w:p>
        </w:tc>
        <w:tc>
          <w:tcPr>
            <w:tcW w:w="133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指标说明</w:t>
            </w:r>
          </w:p>
        </w:tc>
        <w:tc>
          <w:tcPr>
            <w:tcW w:w="1362"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宗地地基承载力好</w:t>
            </w:r>
          </w:p>
        </w:tc>
        <w:tc>
          <w:tcPr>
            <w:tcW w:w="1362"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宗地地基承载力较好</w:t>
            </w:r>
          </w:p>
        </w:tc>
        <w:tc>
          <w:tcPr>
            <w:tcW w:w="1312"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宗地地基承载力适</w:t>
            </w:r>
          </w:p>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宜</w:t>
            </w:r>
          </w:p>
        </w:tc>
        <w:tc>
          <w:tcPr>
            <w:tcW w:w="1293"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宗地地基承载力较</w:t>
            </w:r>
          </w:p>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差</w:t>
            </w:r>
          </w:p>
        </w:tc>
        <w:tc>
          <w:tcPr>
            <w:tcW w:w="1308"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宗地地基承载力差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096"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133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362"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w:t>
            </w:r>
          </w:p>
        </w:tc>
        <w:tc>
          <w:tcPr>
            <w:tcW w:w="1362"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w:t>
            </w:r>
          </w:p>
        </w:tc>
        <w:tc>
          <w:tcPr>
            <w:tcW w:w="1312"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293"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w:t>
            </w:r>
          </w:p>
        </w:tc>
        <w:tc>
          <w:tcPr>
            <w:tcW w:w="1308"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096" w:type="dxa"/>
            <w:vMerge w:val="restart"/>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地形</w:t>
            </w:r>
          </w:p>
        </w:tc>
        <w:tc>
          <w:tcPr>
            <w:tcW w:w="133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指标说明</w:t>
            </w:r>
          </w:p>
        </w:tc>
        <w:tc>
          <w:tcPr>
            <w:tcW w:w="1362"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lang w:val="zh-CN"/>
              </w:rPr>
              <w:t>地形平坦，可直接开发利用</w:t>
            </w:r>
          </w:p>
        </w:tc>
        <w:tc>
          <w:tcPr>
            <w:tcW w:w="1362"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lang w:val="zh-CN"/>
              </w:rPr>
              <w:t>地形较平坦</w:t>
            </w:r>
          </w:p>
        </w:tc>
        <w:tc>
          <w:tcPr>
            <w:tcW w:w="1312"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lang w:val="zh-CN"/>
              </w:rPr>
              <w:t>地形对土地利用无不良影响</w:t>
            </w:r>
          </w:p>
        </w:tc>
        <w:tc>
          <w:tcPr>
            <w:tcW w:w="1293"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lang w:val="zh-CN"/>
              </w:rPr>
              <w:t>有一定地形坡度和起伏，对土地利用有一定影响</w:t>
            </w:r>
          </w:p>
        </w:tc>
        <w:tc>
          <w:tcPr>
            <w:tcW w:w="1308"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lang w:val="zh-CN"/>
              </w:rPr>
              <w:t>地形起伏、坡度较大，对土地利用产生严重影响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096"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133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362"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w:t>
            </w:r>
          </w:p>
        </w:tc>
        <w:tc>
          <w:tcPr>
            <w:tcW w:w="1362"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w:t>
            </w:r>
          </w:p>
        </w:tc>
        <w:tc>
          <w:tcPr>
            <w:tcW w:w="1312"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293"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w:t>
            </w:r>
          </w:p>
        </w:tc>
        <w:tc>
          <w:tcPr>
            <w:tcW w:w="1308"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096" w:type="dxa"/>
            <w:vMerge w:val="restart"/>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地势</w:t>
            </w:r>
          </w:p>
        </w:tc>
        <w:tc>
          <w:tcPr>
            <w:tcW w:w="133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指标说明</w:t>
            </w:r>
          </w:p>
        </w:tc>
        <w:tc>
          <w:tcPr>
            <w:tcW w:w="1362"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lang w:val="zh-CN"/>
              </w:rPr>
              <w:t>地势较高，排水通风条件好，出入口设置仍然便利</w:t>
            </w:r>
          </w:p>
        </w:tc>
        <w:tc>
          <w:tcPr>
            <w:tcW w:w="1362"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lang w:val="zh-CN"/>
              </w:rPr>
              <w:t>地势一般，通风排水条件一般，不影响出入口设置</w:t>
            </w:r>
          </w:p>
        </w:tc>
        <w:tc>
          <w:tcPr>
            <w:tcW w:w="1312"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lang w:val="zh-CN"/>
              </w:rPr>
              <w:t>地势一般，排水通风条件一般</w:t>
            </w:r>
          </w:p>
        </w:tc>
        <w:tc>
          <w:tcPr>
            <w:tcW w:w="1293"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lang w:val="zh-CN"/>
              </w:rPr>
              <w:t>地势偏高，对出入通道设置有一定影响</w:t>
            </w:r>
          </w:p>
        </w:tc>
        <w:tc>
          <w:tcPr>
            <w:tcW w:w="1308"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lang w:val="zh-CN"/>
              </w:rPr>
              <w:t>地势偏低，不利于通风排水和出入口设置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096" w:type="dxa"/>
            <w:vMerge w:val="continue"/>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133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362"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w:t>
            </w:r>
          </w:p>
        </w:tc>
        <w:tc>
          <w:tcPr>
            <w:tcW w:w="1362"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w:t>
            </w:r>
          </w:p>
        </w:tc>
        <w:tc>
          <w:tcPr>
            <w:tcW w:w="1312"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293"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w:t>
            </w:r>
          </w:p>
        </w:tc>
        <w:tc>
          <w:tcPr>
            <w:tcW w:w="1308"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w:t>
            </w:r>
          </w:p>
        </w:tc>
      </w:tr>
    </w:tbl>
    <w:p>
      <w:pPr>
        <w:numPr>
          <w:ilvl w:val="0"/>
          <w:numId w:val="6"/>
        </w:numPr>
        <w:tabs>
          <w:tab w:val="left" w:pos="0"/>
        </w:tabs>
        <w:spacing w:before="72" w:after="72"/>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土地剩余使用年期修正</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土地剩余使用年期修正公式为：</w:t>
      </w:r>
    </w:p>
    <w:p>
      <w:pPr>
        <w:spacing w:line="240" w:lineRule="auto"/>
        <w:ind w:firstLine="0" w:firstLineChars="0"/>
        <w:jc w:val="center"/>
        <w:rPr>
          <w:rFonts w:cs="仿宋"/>
          <w:position w:val="-36"/>
        </w:rPr>
      </w:pPr>
      <w:r>
        <w:rPr>
          <w:rFonts w:hint="eastAsia" w:cs="仿宋"/>
          <w:position w:val="-36"/>
        </w:rPr>
        <w:object>
          <v:shape id="_x0000_i1045" o:spt="75" type="#_x0000_t75" style="height:41.9pt;width:165.5pt;" o:ole="t" filled="f" o:preferrelative="t" stroked="f" coordsize="21600,21600">
            <v:path/>
            <v:fill on="f" focussize="0,0"/>
            <v:stroke on="f" joinstyle="miter"/>
            <v:imagedata r:id="rId55" o:title=""/>
            <o:lock v:ext="edit" aspectratio="t"/>
            <w10:wrap type="none"/>
            <w10:anchorlock/>
          </v:shape>
          <o:OLEObject Type="Embed" ProgID="Equation.3" ShapeID="_x0000_i1045" DrawAspect="Content" ObjectID="_1468075745" r:id="rId54">
            <o:LockedField>false</o:LockedField>
          </o:OLEObject>
        </w:object>
      </w:r>
    </w:p>
    <w:p>
      <w:pPr>
        <w:rPr>
          <w:rFonts w:ascii="仿宋_GB2312" w:hAnsi="仿宋_GB2312" w:eastAsia="仿宋_GB2312" w:cs="仿宋_GB2312"/>
          <w:sz w:val="24"/>
        </w:rPr>
      </w:pPr>
      <w:r>
        <w:rPr>
          <w:rFonts w:hint="eastAsia" w:ascii="仿宋_GB2312" w:hAnsi="仿宋_GB2312" w:eastAsia="仿宋_GB2312" w:cs="仿宋_GB2312"/>
          <w:sz w:val="24"/>
        </w:rPr>
        <w:t>式中：</w:t>
      </w:r>
      <w:r>
        <w:rPr>
          <w:rFonts w:hint="eastAsia" w:ascii="仿宋_GB2312" w:hAnsi="仿宋_GB2312" w:eastAsia="仿宋_GB2312" w:cs="仿宋_GB2312"/>
          <w:position w:val="-4"/>
          <w:sz w:val="24"/>
        </w:rPr>
        <w:object>
          <v:shape id="_x0000_i1046" o:spt="75" type="#_x0000_t75" style="height:9.65pt;width:8.6pt;" o:ole="t" filled="f" o:preferrelative="t" stroked="f" coordsize="21600,21600">
            <v:path/>
            <v:fill on="f" focussize="0,0"/>
            <v:stroke on="f" joinstyle="miter"/>
            <v:imagedata r:id="rId57" o:title=""/>
            <o:lock v:ext="edit" aspectratio="t"/>
            <w10:wrap type="none"/>
            <w10:anchorlock/>
          </v:shape>
          <o:OLEObject Type="Embed" ProgID="Equation.3" ShapeID="_x0000_i1046" DrawAspect="Content" ObjectID="_1468075746" r:id="rId56">
            <o:LockedField>false</o:LockedField>
          </o:OLEObject>
        </w:object>
      </w:r>
      <w:r>
        <w:rPr>
          <w:rFonts w:hint="eastAsia" w:ascii="仿宋_GB2312" w:hAnsi="仿宋_GB2312" w:eastAsia="仿宋_GB2312" w:cs="仿宋_GB2312"/>
          <w:sz w:val="24"/>
        </w:rPr>
        <w:t>——土地还原率；</w:t>
      </w:r>
      <w:r>
        <w:rPr>
          <w:rFonts w:hint="eastAsia" w:ascii="仿宋_GB2312" w:hAnsi="仿宋_GB2312" w:eastAsia="仿宋_GB2312" w:cs="仿宋_GB2312"/>
          <w:position w:val="-6"/>
          <w:sz w:val="24"/>
        </w:rPr>
        <w:object>
          <v:shape id="_x0000_i1047" o:spt="75" type="#_x0000_t75" style="height:10.75pt;width:12.9pt;" o:ole="t" filled="f" o:preferrelative="t" stroked="f" coordsize="21600,21600">
            <v:path/>
            <v:fill on="f" focussize="0,0"/>
            <v:stroke on="f" joinstyle="miter"/>
            <v:imagedata r:id="rId59" o:title=""/>
            <o:lock v:ext="edit" aspectratio="t"/>
            <w10:wrap type="none"/>
            <w10:anchorlock/>
          </v:shape>
          <o:OLEObject Type="Embed" ProgID="Equation.3" ShapeID="_x0000_i1047" DrawAspect="Content" ObjectID="_1468075747" r:id="rId58">
            <o:LockedField>false</o:LockedField>
          </o:OLEObject>
        </w:object>
      </w:r>
      <w:r>
        <w:rPr>
          <w:rFonts w:hint="eastAsia" w:ascii="仿宋_GB2312" w:hAnsi="仿宋_GB2312" w:eastAsia="仿宋_GB2312" w:cs="仿宋_GB2312"/>
          <w:sz w:val="24"/>
        </w:rPr>
        <w:t>——土地使用权法定最高出让年限50年；</w:t>
      </w:r>
    </w:p>
    <w:p>
      <w:pPr>
        <w:ind w:firstLine="1200" w:firstLineChars="500"/>
        <w:rPr>
          <w:rFonts w:ascii="仿宋_GB2312" w:hAnsi="仿宋_GB2312" w:eastAsia="仿宋_GB2312" w:cs="仿宋_GB2312"/>
          <w:sz w:val="24"/>
        </w:rPr>
      </w:pPr>
      <w:r>
        <w:rPr>
          <w:rFonts w:hint="eastAsia" w:ascii="仿宋_GB2312" w:hAnsi="仿宋_GB2312" w:eastAsia="仿宋_GB2312" w:cs="仿宋_GB2312"/>
          <w:position w:val="-6"/>
          <w:sz w:val="24"/>
        </w:rPr>
        <w:object>
          <v:shape id="_x0000_i1048" o:spt="75" type="#_x0000_t75" style="height:10.75pt;width:9.65pt;" o:ole="t" filled="f" o:preferrelative="t" stroked="f" coordsize="21600,21600">
            <v:path/>
            <v:fill on="f" focussize="0,0"/>
            <v:stroke on="f" joinstyle="miter"/>
            <v:imagedata r:id="rId61" o:title=""/>
            <o:lock v:ext="edit" aspectratio="t"/>
            <w10:wrap type="none"/>
            <w10:anchorlock/>
          </v:shape>
          <o:OLEObject Type="Embed" ProgID="Equation.3" ShapeID="_x0000_i1048" DrawAspect="Content" ObjectID="_1468075748" r:id="rId60">
            <o:LockedField>false</o:LockedField>
          </o:OLEObject>
        </w:object>
      </w:r>
      <w:r>
        <w:rPr>
          <w:rFonts w:hint="eastAsia" w:ascii="仿宋_GB2312" w:hAnsi="仿宋_GB2312" w:eastAsia="仿宋_GB2312" w:cs="仿宋_GB2312"/>
          <w:sz w:val="24"/>
        </w:rPr>
        <w:t>——土地剩余使用年期；</w:t>
      </w:r>
      <w:r>
        <w:rPr>
          <w:rFonts w:hint="eastAsia" w:ascii="仿宋_GB2312" w:hAnsi="仿宋_GB2312" w:eastAsia="仿宋_GB2312" w:cs="仿宋_GB2312"/>
          <w:position w:val="-4"/>
          <w:sz w:val="24"/>
        </w:rPr>
        <w:object>
          <v:shape id="_x0000_i1049" o:spt="75" type="#_x0000_t75" style="height:12.9pt;width:10.75pt;" o:ole="t" filled="f" o:preferrelative="t" stroked="f" coordsize="21600,21600">
            <v:path/>
            <v:fill on="f" focussize="0,0"/>
            <v:stroke on="f" joinstyle="miter"/>
            <v:imagedata r:id="rId63" o:title=""/>
            <o:lock v:ext="edit" aspectratio="t"/>
            <w10:wrap type="none"/>
            <w10:anchorlock/>
          </v:shape>
          <o:OLEObject Type="Embed" ProgID="Equation.3" ShapeID="_x0000_i1049" DrawAspect="Content" ObjectID="_1468075749" r:id="rId62">
            <o:LockedField>false</o:LockedField>
          </o:OLEObject>
        </w:object>
      </w:r>
      <w:r>
        <w:rPr>
          <w:rFonts w:hint="eastAsia" w:ascii="仿宋_GB2312" w:hAnsi="仿宋_GB2312" w:eastAsia="仿宋_GB2312" w:cs="仿宋_GB2312"/>
          <w:sz w:val="24"/>
        </w:rPr>
        <w:t>——土地剩余使用年期修正系数。</w:t>
      </w: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城区公用设施用地使用年期修正系数表(土地还原率为4%)</w:t>
      </w:r>
    </w:p>
    <w:tbl>
      <w:tblPr>
        <w:tblStyle w:val="114"/>
        <w:tblW w:w="9070" w:type="dxa"/>
        <w:jc w:val="center"/>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09"/>
        <w:gridCol w:w="881"/>
        <w:gridCol w:w="794"/>
        <w:gridCol w:w="795"/>
        <w:gridCol w:w="795"/>
        <w:gridCol w:w="795"/>
        <w:gridCol w:w="793"/>
        <w:gridCol w:w="795"/>
        <w:gridCol w:w="793"/>
        <w:gridCol w:w="793"/>
        <w:gridCol w:w="82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61" w:hRule="atLeast"/>
          <w:jc w:val="center"/>
        </w:trPr>
        <w:tc>
          <w:tcPr>
            <w:tcW w:w="1009" w:type="dxa"/>
            <w:tcBorders>
              <w:top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剩余年期</w:t>
            </w:r>
          </w:p>
        </w:tc>
        <w:tc>
          <w:tcPr>
            <w:tcW w:w="881" w:type="dxa"/>
            <w:tcBorders>
              <w:top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w:t>
            </w:r>
          </w:p>
        </w:tc>
        <w:tc>
          <w:tcPr>
            <w:tcW w:w="794" w:type="dxa"/>
            <w:tcBorders>
              <w:top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w:t>
            </w:r>
          </w:p>
        </w:tc>
        <w:tc>
          <w:tcPr>
            <w:tcW w:w="795" w:type="dxa"/>
            <w:tcBorders>
              <w:top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w:t>
            </w:r>
          </w:p>
        </w:tc>
        <w:tc>
          <w:tcPr>
            <w:tcW w:w="795" w:type="dxa"/>
            <w:tcBorders>
              <w:top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w:t>
            </w:r>
          </w:p>
        </w:tc>
        <w:tc>
          <w:tcPr>
            <w:tcW w:w="795" w:type="dxa"/>
            <w:tcBorders>
              <w:top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w:t>
            </w:r>
          </w:p>
        </w:tc>
        <w:tc>
          <w:tcPr>
            <w:tcW w:w="793" w:type="dxa"/>
            <w:tcBorders>
              <w:top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6</w:t>
            </w:r>
          </w:p>
        </w:tc>
        <w:tc>
          <w:tcPr>
            <w:tcW w:w="795" w:type="dxa"/>
            <w:tcBorders>
              <w:top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7</w:t>
            </w:r>
          </w:p>
        </w:tc>
        <w:tc>
          <w:tcPr>
            <w:tcW w:w="793" w:type="dxa"/>
            <w:tcBorders>
              <w:top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8</w:t>
            </w:r>
          </w:p>
        </w:tc>
        <w:tc>
          <w:tcPr>
            <w:tcW w:w="793" w:type="dxa"/>
            <w:tcBorders>
              <w:top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9</w:t>
            </w:r>
          </w:p>
        </w:tc>
        <w:tc>
          <w:tcPr>
            <w:tcW w:w="827" w:type="dxa"/>
            <w:tcBorders>
              <w:top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56" w:hRule="atLeast"/>
          <w:jc w:val="center"/>
        </w:trPr>
        <w:tc>
          <w:tcPr>
            <w:tcW w:w="1009"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881"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0.0448</w:t>
            </w:r>
          </w:p>
        </w:tc>
        <w:tc>
          <w:tcPr>
            <w:tcW w:w="79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0.0878</w:t>
            </w:r>
          </w:p>
        </w:tc>
        <w:tc>
          <w:tcPr>
            <w:tcW w:w="795"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0.1292</w:t>
            </w:r>
          </w:p>
        </w:tc>
        <w:tc>
          <w:tcPr>
            <w:tcW w:w="795"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0.169</w:t>
            </w:r>
          </w:p>
        </w:tc>
        <w:tc>
          <w:tcPr>
            <w:tcW w:w="795"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0.2072</w:t>
            </w:r>
          </w:p>
        </w:tc>
        <w:tc>
          <w:tcPr>
            <w:tcW w:w="793"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0.244</w:t>
            </w:r>
          </w:p>
        </w:tc>
        <w:tc>
          <w:tcPr>
            <w:tcW w:w="795"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0.2794</w:t>
            </w:r>
          </w:p>
        </w:tc>
        <w:tc>
          <w:tcPr>
            <w:tcW w:w="793"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0.3134</w:t>
            </w:r>
          </w:p>
        </w:tc>
        <w:tc>
          <w:tcPr>
            <w:tcW w:w="793"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0.3461</w:t>
            </w:r>
          </w:p>
        </w:tc>
        <w:tc>
          <w:tcPr>
            <w:tcW w:w="82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0.3776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55" w:hRule="atLeast"/>
          <w:jc w:val="center"/>
        </w:trPr>
        <w:tc>
          <w:tcPr>
            <w:tcW w:w="1009"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剩余年期</w:t>
            </w:r>
          </w:p>
        </w:tc>
        <w:tc>
          <w:tcPr>
            <w:tcW w:w="881"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11</w:t>
            </w:r>
          </w:p>
        </w:tc>
        <w:tc>
          <w:tcPr>
            <w:tcW w:w="79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w:t>
            </w:r>
          </w:p>
        </w:tc>
        <w:tc>
          <w:tcPr>
            <w:tcW w:w="795"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w:t>
            </w:r>
          </w:p>
        </w:tc>
        <w:tc>
          <w:tcPr>
            <w:tcW w:w="795"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14</w:t>
            </w:r>
          </w:p>
        </w:tc>
        <w:tc>
          <w:tcPr>
            <w:tcW w:w="795"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15</w:t>
            </w:r>
          </w:p>
        </w:tc>
        <w:tc>
          <w:tcPr>
            <w:tcW w:w="793"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16</w:t>
            </w:r>
          </w:p>
        </w:tc>
        <w:tc>
          <w:tcPr>
            <w:tcW w:w="795"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17</w:t>
            </w:r>
          </w:p>
        </w:tc>
        <w:tc>
          <w:tcPr>
            <w:tcW w:w="793"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w:t>
            </w:r>
          </w:p>
        </w:tc>
        <w:tc>
          <w:tcPr>
            <w:tcW w:w="793"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19</w:t>
            </w:r>
          </w:p>
        </w:tc>
        <w:tc>
          <w:tcPr>
            <w:tcW w:w="82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55" w:hRule="atLeast"/>
          <w:jc w:val="center"/>
        </w:trPr>
        <w:tc>
          <w:tcPr>
            <w:tcW w:w="1009"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881"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0.4078</w:t>
            </w:r>
          </w:p>
        </w:tc>
        <w:tc>
          <w:tcPr>
            <w:tcW w:w="79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0.4369</w:t>
            </w:r>
          </w:p>
        </w:tc>
        <w:tc>
          <w:tcPr>
            <w:tcW w:w="795"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0.4648</w:t>
            </w:r>
          </w:p>
        </w:tc>
        <w:tc>
          <w:tcPr>
            <w:tcW w:w="795"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0.4917</w:t>
            </w:r>
          </w:p>
        </w:tc>
        <w:tc>
          <w:tcPr>
            <w:tcW w:w="795"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0.5176</w:t>
            </w:r>
          </w:p>
        </w:tc>
        <w:tc>
          <w:tcPr>
            <w:tcW w:w="793"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0.5424</w:t>
            </w:r>
          </w:p>
        </w:tc>
        <w:tc>
          <w:tcPr>
            <w:tcW w:w="795"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0.5663</w:t>
            </w:r>
          </w:p>
        </w:tc>
        <w:tc>
          <w:tcPr>
            <w:tcW w:w="793"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0.5893</w:t>
            </w:r>
          </w:p>
        </w:tc>
        <w:tc>
          <w:tcPr>
            <w:tcW w:w="793"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0.6114</w:t>
            </w:r>
          </w:p>
        </w:tc>
        <w:tc>
          <w:tcPr>
            <w:tcW w:w="82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0.6326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56" w:hRule="atLeast"/>
          <w:jc w:val="center"/>
        </w:trPr>
        <w:tc>
          <w:tcPr>
            <w:tcW w:w="1009"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剩余年期</w:t>
            </w:r>
          </w:p>
        </w:tc>
        <w:tc>
          <w:tcPr>
            <w:tcW w:w="881"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21</w:t>
            </w:r>
          </w:p>
        </w:tc>
        <w:tc>
          <w:tcPr>
            <w:tcW w:w="79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22</w:t>
            </w:r>
          </w:p>
        </w:tc>
        <w:tc>
          <w:tcPr>
            <w:tcW w:w="795"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23</w:t>
            </w:r>
          </w:p>
        </w:tc>
        <w:tc>
          <w:tcPr>
            <w:tcW w:w="795"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24</w:t>
            </w:r>
          </w:p>
        </w:tc>
        <w:tc>
          <w:tcPr>
            <w:tcW w:w="795"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25</w:t>
            </w:r>
          </w:p>
        </w:tc>
        <w:tc>
          <w:tcPr>
            <w:tcW w:w="793"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26</w:t>
            </w:r>
          </w:p>
        </w:tc>
        <w:tc>
          <w:tcPr>
            <w:tcW w:w="795"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27</w:t>
            </w:r>
          </w:p>
        </w:tc>
        <w:tc>
          <w:tcPr>
            <w:tcW w:w="793"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28</w:t>
            </w:r>
          </w:p>
        </w:tc>
        <w:tc>
          <w:tcPr>
            <w:tcW w:w="793"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29</w:t>
            </w:r>
          </w:p>
        </w:tc>
        <w:tc>
          <w:tcPr>
            <w:tcW w:w="82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55" w:hRule="atLeast"/>
          <w:jc w:val="center"/>
        </w:trPr>
        <w:tc>
          <w:tcPr>
            <w:tcW w:w="1009"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881"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0.6531</w:t>
            </w:r>
          </w:p>
        </w:tc>
        <w:tc>
          <w:tcPr>
            <w:tcW w:w="79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0.6727</w:t>
            </w:r>
          </w:p>
        </w:tc>
        <w:tc>
          <w:tcPr>
            <w:tcW w:w="795"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0.6916</w:t>
            </w:r>
          </w:p>
        </w:tc>
        <w:tc>
          <w:tcPr>
            <w:tcW w:w="795"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0.7097</w:t>
            </w:r>
          </w:p>
        </w:tc>
        <w:tc>
          <w:tcPr>
            <w:tcW w:w="795"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0.7272</w:t>
            </w:r>
          </w:p>
        </w:tc>
        <w:tc>
          <w:tcPr>
            <w:tcW w:w="793"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0.744</w:t>
            </w:r>
          </w:p>
        </w:tc>
        <w:tc>
          <w:tcPr>
            <w:tcW w:w="795"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0.7601</w:t>
            </w:r>
          </w:p>
        </w:tc>
        <w:tc>
          <w:tcPr>
            <w:tcW w:w="793"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0.7757</w:t>
            </w:r>
          </w:p>
        </w:tc>
        <w:tc>
          <w:tcPr>
            <w:tcW w:w="793"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0.7906</w:t>
            </w:r>
          </w:p>
        </w:tc>
        <w:tc>
          <w:tcPr>
            <w:tcW w:w="82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0.8049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56" w:hRule="atLeast"/>
          <w:jc w:val="center"/>
        </w:trPr>
        <w:tc>
          <w:tcPr>
            <w:tcW w:w="1009"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剩余年期</w:t>
            </w:r>
          </w:p>
        </w:tc>
        <w:tc>
          <w:tcPr>
            <w:tcW w:w="881"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31</w:t>
            </w:r>
          </w:p>
        </w:tc>
        <w:tc>
          <w:tcPr>
            <w:tcW w:w="79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32</w:t>
            </w:r>
          </w:p>
        </w:tc>
        <w:tc>
          <w:tcPr>
            <w:tcW w:w="795"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33</w:t>
            </w:r>
          </w:p>
        </w:tc>
        <w:tc>
          <w:tcPr>
            <w:tcW w:w="795"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34</w:t>
            </w:r>
          </w:p>
        </w:tc>
        <w:tc>
          <w:tcPr>
            <w:tcW w:w="795"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35</w:t>
            </w:r>
          </w:p>
        </w:tc>
        <w:tc>
          <w:tcPr>
            <w:tcW w:w="793"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36</w:t>
            </w:r>
          </w:p>
        </w:tc>
        <w:tc>
          <w:tcPr>
            <w:tcW w:w="795"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37</w:t>
            </w:r>
          </w:p>
        </w:tc>
        <w:tc>
          <w:tcPr>
            <w:tcW w:w="793"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38</w:t>
            </w:r>
          </w:p>
        </w:tc>
        <w:tc>
          <w:tcPr>
            <w:tcW w:w="793"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39</w:t>
            </w:r>
          </w:p>
        </w:tc>
        <w:tc>
          <w:tcPr>
            <w:tcW w:w="82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55" w:hRule="atLeast"/>
          <w:jc w:val="center"/>
        </w:trPr>
        <w:tc>
          <w:tcPr>
            <w:tcW w:w="1009"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881"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0.8187</w:t>
            </w:r>
          </w:p>
        </w:tc>
        <w:tc>
          <w:tcPr>
            <w:tcW w:w="79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0.832</w:t>
            </w:r>
          </w:p>
        </w:tc>
        <w:tc>
          <w:tcPr>
            <w:tcW w:w="795"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0.8448</w:t>
            </w:r>
          </w:p>
        </w:tc>
        <w:tc>
          <w:tcPr>
            <w:tcW w:w="795"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0.857</w:t>
            </w:r>
          </w:p>
        </w:tc>
        <w:tc>
          <w:tcPr>
            <w:tcW w:w="795"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0.8688</w:t>
            </w:r>
          </w:p>
        </w:tc>
        <w:tc>
          <w:tcPr>
            <w:tcW w:w="793"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0.8802</w:t>
            </w:r>
          </w:p>
        </w:tc>
        <w:tc>
          <w:tcPr>
            <w:tcW w:w="795"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0.8911</w:t>
            </w:r>
          </w:p>
        </w:tc>
        <w:tc>
          <w:tcPr>
            <w:tcW w:w="793"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0.9016</w:t>
            </w:r>
          </w:p>
        </w:tc>
        <w:tc>
          <w:tcPr>
            <w:tcW w:w="793"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0.9117</w:t>
            </w:r>
          </w:p>
        </w:tc>
        <w:tc>
          <w:tcPr>
            <w:tcW w:w="82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0.9214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56" w:hRule="atLeast"/>
          <w:jc w:val="center"/>
        </w:trPr>
        <w:tc>
          <w:tcPr>
            <w:tcW w:w="1009"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剩余年期</w:t>
            </w:r>
          </w:p>
        </w:tc>
        <w:tc>
          <w:tcPr>
            <w:tcW w:w="881"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41</w:t>
            </w:r>
          </w:p>
        </w:tc>
        <w:tc>
          <w:tcPr>
            <w:tcW w:w="79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42</w:t>
            </w:r>
          </w:p>
        </w:tc>
        <w:tc>
          <w:tcPr>
            <w:tcW w:w="795"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43</w:t>
            </w:r>
          </w:p>
        </w:tc>
        <w:tc>
          <w:tcPr>
            <w:tcW w:w="795"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44</w:t>
            </w:r>
          </w:p>
        </w:tc>
        <w:tc>
          <w:tcPr>
            <w:tcW w:w="795"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45</w:t>
            </w:r>
          </w:p>
        </w:tc>
        <w:tc>
          <w:tcPr>
            <w:tcW w:w="793"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46</w:t>
            </w:r>
          </w:p>
        </w:tc>
        <w:tc>
          <w:tcPr>
            <w:tcW w:w="795"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47</w:t>
            </w:r>
          </w:p>
        </w:tc>
        <w:tc>
          <w:tcPr>
            <w:tcW w:w="793"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48</w:t>
            </w:r>
          </w:p>
        </w:tc>
        <w:tc>
          <w:tcPr>
            <w:tcW w:w="793"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49</w:t>
            </w:r>
          </w:p>
        </w:tc>
        <w:tc>
          <w:tcPr>
            <w:tcW w:w="82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97" w:hRule="atLeast"/>
          <w:jc w:val="center"/>
        </w:trPr>
        <w:tc>
          <w:tcPr>
            <w:tcW w:w="1009"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881"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0.9307</w:t>
            </w:r>
          </w:p>
        </w:tc>
        <w:tc>
          <w:tcPr>
            <w:tcW w:w="79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0.9396</w:t>
            </w:r>
          </w:p>
        </w:tc>
        <w:tc>
          <w:tcPr>
            <w:tcW w:w="795"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0.9483</w:t>
            </w:r>
          </w:p>
        </w:tc>
        <w:tc>
          <w:tcPr>
            <w:tcW w:w="795"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0.9566</w:t>
            </w:r>
          </w:p>
        </w:tc>
        <w:tc>
          <w:tcPr>
            <w:tcW w:w="795"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0.9645</w:t>
            </w:r>
          </w:p>
        </w:tc>
        <w:tc>
          <w:tcPr>
            <w:tcW w:w="793"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0.9722</w:t>
            </w:r>
          </w:p>
        </w:tc>
        <w:tc>
          <w:tcPr>
            <w:tcW w:w="795"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0.9796</w:t>
            </w:r>
          </w:p>
        </w:tc>
        <w:tc>
          <w:tcPr>
            <w:tcW w:w="793"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0.9866</w:t>
            </w:r>
          </w:p>
        </w:tc>
        <w:tc>
          <w:tcPr>
            <w:tcW w:w="793"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0.9934</w:t>
            </w:r>
          </w:p>
        </w:tc>
        <w:tc>
          <w:tcPr>
            <w:tcW w:w="827"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w:t>
            </w:r>
          </w:p>
        </w:tc>
      </w:tr>
    </w:tbl>
    <w:p>
      <w:pPr>
        <w:numPr>
          <w:ilvl w:val="0"/>
          <w:numId w:val="6"/>
        </w:numPr>
        <w:tabs>
          <w:tab w:val="left" w:pos="0"/>
        </w:tabs>
        <w:spacing w:before="72" w:after="72"/>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土地开发程度修正（同工业用地，详见上文）</w:t>
      </w:r>
    </w:p>
    <w:p>
      <w:pPr>
        <w:adjustRightInd w:val="0"/>
        <w:spacing w:line="580" w:lineRule="exact"/>
        <w:ind w:firstLine="640"/>
        <w:rPr>
          <w:rFonts w:ascii="楷体_GB2312" w:hAnsi="楷体_GB2312" w:eastAsia="楷体_GB2312" w:cs="楷体_GB2312"/>
          <w:snapToGrid w:val="0"/>
          <w:color w:val="000000"/>
          <w:kern w:val="0"/>
          <w:sz w:val="32"/>
          <w:szCs w:val="32"/>
        </w:rPr>
      </w:pPr>
      <w:bookmarkStart w:id="103" w:name="_Toc30970"/>
      <w:bookmarkStart w:id="104" w:name="_Toc5062057"/>
      <w:r>
        <w:rPr>
          <w:rFonts w:hint="eastAsia" w:ascii="楷体_GB2312" w:hAnsi="楷体_GB2312" w:eastAsia="楷体_GB2312" w:cs="楷体_GB2312"/>
          <w:snapToGrid w:val="0"/>
          <w:color w:val="000000"/>
          <w:kern w:val="0"/>
          <w:sz w:val="32"/>
          <w:szCs w:val="32"/>
        </w:rPr>
        <w:t>（六）乡镇商服用地宗地地价修正体系编制</w:t>
      </w:r>
      <w:bookmarkEnd w:id="103"/>
    </w:p>
    <w:p>
      <w:pPr>
        <w:numPr>
          <w:ilvl w:val="0"/>
          <w:numId w:val="7"/>
        </w:numPr>
        <w:tabs>
          <w:tab w:val="left" w:pos="0"/>
        </w:tabs>
        <w:spacing w:before="72" w:after="72"/>
        <w:ind w:firstLineChars="0"/>
        <w:rPr>
          <w:rFonts w:ascii="仿宋_GB2312" w:hAnsi="仿宋_GB2312" w:eastAsia="仿宋_GB2312" w:cs="仿宋_GB2312"/>
          <w:sz w:val="32"/>
          <w:szCs w:val="32"/>
          <w:lang w:val="zh-CN"/>
        </w:rPr>
      </w:pPr>
      <w:bookmarkStart w:id="105" w:name="_Toc5062024"/>
      <w:r>
        <w:rPr>
          <w:rFonts w:hint="eastAsia" w:ascii="仿宋_GB2312" w:hAnsi="仿宋_GB2312" w:eastAsia="仿宋_GB2312" w:cs="仿宋_GB2312"/>
          <w:sz w:val="32"/>
          <w:szCs w:val="32"/>
          <w:lang w:val="zh-CN"/>
        </w:rPr>
        <w:t>区域因素修正</w:t>
      </w:r>
      <w:bookmarkEnd w:id="105"/>
    </w:p>
    <w:p>
      <w:pPr>
        <w:numPr>
          <w:ilvl w:val="0"/>
          <w:numId w:val="1"/>
        </w:numPr>
        <w:tabs>
          <w:tab w:val="left" w:pos="0"/>
        </w:tabs>
        <w:ind w:firstLineChars="0"/>
        <w:jc w:val="center"/>
        <w:rPr>
          <w:rFonts w:ascii="仿宋_GB2312" w:hAnsi="仿宋_GB2312" w:eastAsia="仿宋_GB2312" w:cs="仿宋_GB2312"/>
          <w:sz w:val="32"/>
          <w:szCs w:val="32"/>
          <w:lang w:val="zh-CN"/>
        </w:rPr>
      </w:pPr>
      <w:r>
        <w:rPr>
          <w:rFonts w:hint="eastAsia" w:ascii="仿宋_GB2312" w:hAnsi="仿宋_GB2312" w:eastAsia="仿宋_GB2312" w:cs="仿宋_GB2312"/>
          <w:sz w:val="32"/>
          <w:szCs w:val="32"/>
        </w:rPr>
        <w:t>乡镇商服用地基准地价修正因素说明表</w:t>
      </w:r>
    </w:p>
    <w:tbl>
      <w:tblPr>
        <w:tblStyle w:val="47"/>
        <w:tblW w:w="9279" w:type="dxa"/>
        <w:jc w:val="center"/>
        <w:tblInd w:w="0" w:type="dxa"/>
        <w:tblLayout w:type="fixed"/>
        <w:tblCellMar>
          <w:top w:w="0" w:type="dxa"/>
          <w:left w:w="108" w:type="dxa"/>
          <w:bottom w:w="0" w:type="dxa"/>
          <w:right w:w="108" w:type="dxa"/>
        </w:tblCellMar>
      </w:tblPr>
      <w:tblGrid>
        <w:gridCol w:w="1662"/>
        <w:gridCol w:w="1521"/>
        <w:gridCol w:w="1521"/>
        <w:gridCol w:w="1524"/>
        <w:gridCol w:w="1524"/>
        <w:gridCol w:w="1527"/>
      </w:tblGrid>
      <w:tr>
        <w:tblPrEx>
          <w:tblLayout w:type="fixed"/>
          <w:tblCellMar>
            <w:top w:w="0" w:type="dxa"/>
            <w:left w:w="108" w:type="dxa"/>
            <w:bottom w:w="0" w:type="dxa"/>
            <w:right w:w="108" w:type="dxa"/>
          </w:tblCellMar>
        </w:tblPrEx>
        <w:trPr>
          <w:trHeight w:val="285" w:hRule="atLeast"/>
          <w:tblHeader/>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因素/优劣度</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优</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较优</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较劣</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劣</w:t>
            </w:r>
          </w:p>
        </w:tc>
      </w:tr>
      <w:tr>
        <w:tblPrEx>
          <w:tblLayout w:type="fixed"/>
          <w:tblCellMar>
            <w:top w:w="0" w:type="dxa"/>
            <w:left w:w="108" w:type="dxa"/>
            <w:bottom w:w="0" w:type="dxa"/>
            <w:right w:w="108" w:type="dxa"/>
          </w:tblCellMar>
        </w:tblPrEx>
        <w:trPr>
          <w:trHeight w:val="353"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繁华程度</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距商服中心近、在农贸市场、大型宾馆区范围内，人流畅旺</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距商服中心较近、离集贸市场、宾馆区较近，人流较畅旺</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距商服中心有一定距离，与集贸市场、宾馆距离一般、人流量一般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距商服中心较远，所在地区商业气氛平淡，人流较少</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距商服中心远，独立、小型、零星的商业用地</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5.6280%</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2.8140%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-2.8140%</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-5.6280%</w:t>
            </w:r>
          </w:p>
        </w:tc>
      </w:tr>
      <w:tr>
        <w:tblPrEx>
          <w:tblLayout w:type="fixed"/>
          <w:tblCellMar>
            <w:top w:w="0" w:type="dxa"/>
            <w:left w:w="108" w:type="dxa"/>
            <w:bottom w:w="0" w:type="dxa"/>
            <w:right w:w="108" w:type="dxa"/>
          </w:tblCellMar>
        </w:tblPrEx>
        <w:trPr>
          <w:trHeight w:val="108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交通条件</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道路通达度高、距长途汽车站近、交通方便</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道路通达度较高、距长途汽车站较近，交通较方便</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道路通达度一般、距长途汽车站距离一般，交通一般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道路通达度较低、距长途汽车站较远，交通较差</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道路通达度低、距长途汽车站远，交通不方便</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4.2580%</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2.1290%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-2.1290%</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-4.2580%</w:t>
            </w:r>
          </w:p>
        </w:tc>
      </w:tr>
      <w:tr>
        <w:tblPrEx>
          <w:tblLayout w:type="fixed"/>
          <w:tblCellMar>
            <w:top w:w="0" w:type="dxa"/>
            <w:left w:w="108" w:type="dxa"/>
            <w:bottom w:w="0" w:type="dxa"/>
            <w:right w:w="108" w:type="dxa"/>
          </w:tblCellMar>
        </w:tblPrEx>
        <w:trPr>
          <w:trHeight w:val="309"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基本设施状况</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市政供水，供电保证率高，排水状况好，周围学校、银行、邮电局（所）、医院等生活设施配套完备</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市政供水，供电保证率较高，排水状况较好，周围学校、银行、邮电局（所）、医院等生活设施配套较完备</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市政供水，供电保证率一般，排水状况一般，周围学校、银行、邮电局（所）、医院等生活设施配套一般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市政供水，供电保证率较低，排水状况较差，离学校、银行、邮电局（所）、医院等生活设施有一定的距离</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市政供水，供电保证率低，排水状况差，离学校、银行、邮电局（所）、医院较远，生活设施配套不完备</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4.1240%</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2.0620%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-2.0620%</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-4.1240%</w:t>
            </w:r>
          </w:p>
        </w:tc>
      </w:tr>
      <w:tr>
        <w:tblPrEx>
          <w:tblLayout w:type="fixed"/>
          <w:tblCellMar>
            <w:top w:w="0" w:type="dxa"/>
            <w:left w:w="108" w:type="dxa"/>
            <w:bottom w:w="0" w:type="dxa"/>
            <w:right w:w="108" w:type="dxa"/>
          </w:tblCellMar>
        </w:tblPrEx>
        <w:trPr>
          <w:trHeight w:val="27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人口状况</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人口密度高</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人口密度较高</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人口密度较低</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人口密度低</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3.2960%</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1.6480%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-1.6480%</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-3.2960%</w:t>
            </w:r>
          </w:p>
        </w:tc>
      </w:tr>
      <w:tr>
        <w:tblPrEx>
          <w:tblLayout w:type="fixed"/>
          <w:tblCellMar>
            <w:top w:w="0" w:type="dxa"/>
            <w:left w:w="108" w:type="dxa"/>
            <w:bottom w:w="0" w:type="dxa"/>
            <w:right w:w="108" w:type="dxa"/>
          </w:tblCellMar>
        </w:tblPrEx>
        <w:trPr>
          <w:trHeight w:val="27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城镇规划</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规划前景好</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规划前景较好</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规划前景一般</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规划前景较差</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规划前景差</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2.6960%</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1.3480%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-1.3480%</w:t>
            </w:r>
          </w:p>
        </w:tc>
        <w:tc>
          <w:tcPr>
            <w:tcW w:w="1527"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-2.6960%</w:t>
            </w:r>
          </w:p>
        </w:tc>
      </w:tr>
    </w:tbl>
    <w:p>
      <w:pPr>
        <w:numPr>
          <w:ilvl w:val="0"/>
          <w:numId w:val="7"/>
        </w:numPr>
        <w:tabs>
          <w:tab w:val="left" w:pos="0"/>
        </w:tabs>
        <w:spacing w:before="72" w:after="72"/>
        <w:ind w:firstLineChars="0"/>
        <w:rPr>
          <w:rFonts w:ascii="仿宋_GB2312" w:hAnsi="仿宋_GB2312" w:eastAsia="仿宋_GB2312" w:cs="仿宋_GB2312"/>
          <w:sz w:val="32"/>
          <w:szCs w:val="32"/>
          <w:lang w:val="zh-CN"/>
        </w:rPr>
      </w:pPr>
      <w:bookmarkStart w:id="106" w:name="_Toc5062025"/>
      <w:r>
        <w:rPr>
          <w:rFonts w:hint="eastAsia" w:ascii="仿宋_GB2312" w:hAnsi="仿宋_GB2312" w:eastAsia="仿宋_GB2312" w:cs="仿宋_GB2312"/>
          <w:sz w:val="32"/>
          <w:szCs w:val="32"/>
          <w:lang w:val="zh-CN"/>
        </w:rPr>
        <w:t>容积率修正</w:t>
      </w:r>
      <w:bookmarkEnd w:id="106"/>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参照城区商服用地容积率修正系数。</w:t>
      </w:r>
    </w:p>
    <w:p>
      <w:pPr>
        <w:numPr>
          <w:ilvl w:val="0"/>
          <w:numId w:val="7"/>
        </w:numPr>
        <w:tabs>
          <w:tab w:val="left" w:pos="0"/>
        </w:tabs>
        <w:spacing w:before="72" w:after="72"/>
        <w:ind w:firstLineChars="0"/>
        <w:rPr>
          <w:rFonts w:ascii="仿宋_GB2312" w:hAnsi="仿宋_GB2312" w:eastAsia="仿宋_GB2312" w:cs="仿宋_GB2312"/>
          <w:sz w:val="32"/>
          <w:szCs w:val="32"/>
          <w:lang w:val="zh-CN"/>
        </w:rPr>
      </w:pPr>
      <w:bookmarkStart w:id="107" w:name="_Toc5062026"/>
      <w:r>
        <w:rPr>
          <w:rFonts w:hint="eastAsia" w:ascii="仿宋_GB2312" w:hAnsi="仿宋_GB2312" w:eastAsia="仿宋_GB2312" w:cs="仿宋_GB2312"/>
          <w:sz w:val="32"/>
          <w:szCs w:val="32"/>
          <w:lang w:val="zh-CN"/>
        </w:rPr>
        <w:t>楼层修正系数</w:t>
      </w:r>
      <w:bookmarkEnd w:id="107"/>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参照城区商服用地楼层修正系数。</w:t>
      </w:r>
    </w:p>
    <w:p>
      <w:pPr>
        <w:numPr>
          <w:ilvl w:val="0"/>
          <w:numId w:val="7"/>
        </w:numPr>
        <w:tabs>
          <w:tab w:val="left" w:pos="0"/>
        </w:tabs>
        <w:spacing w:before="72" w:after="72"/>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街角地修正</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参照城区商服用地街角地修正系数。</w:t>
      </w:r>
    </w:p>
    <w:p>
      <w:pPr>
        <w:numPr>
          <w:ilvl w:val="0"/>
          <w:numId w:val="7"/>
        </w:numPr>
        <w:tabs>
          <w:tab w:val="left" w:pos="0"/>
        </w:tabs>
        <w:spacing w:before="72" w:after="72"/>
        <w:ind w:firstLineChars="0"/>
        <w:rPr>
          <w:rFonts w:ascii="仿宋_GB2312" w:hAnsi="仿宋_GB2312" w:eastAsia="仿宋_GB2312" w:cs="仿宋_GB2312"/>
          <w:sz w:val="32"/>
          <w:szCs w:val="32"/>
        </w:rPr>
      </w:pPr>
      <w:bookmarkStart w:id="108" w:name="_Toc5062029"/>
      <w:r>
        <w:rPr>
          <w:rFonts w:hint="eastAsia" w:ascii="仿宋_GB2312" w:hAnsi="仿宋_GB2312" w:eastAsia="仿宋_GB2312" w:cs="仿宋_GB2312"/>
          <w:sz w:val="32"/>
          <w:szCs w:val="32"/>
        </w:rPr>
        <w:t>临街深度修正</w:t>
      </w: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乡镇商服用地路线价深度修正系数表（标准深度为10米）</w:t>
      </w:r>
    </w:p>
    <w:tbl>
      <w:tblPr>
        <w:tblStyle w:val="47"/>
        <w:tblW w:w="8497"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18"/>
        <w:gridCol w:w="1169"/>
        <w:gridCol w:w="1167"/>
        <w:gridCol w:w="1167"/>
        <w:gridCol w:w="1167"/>
        <w:gridCol w:w="1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69" w:hRule="atLeast"/>
          <w:jc w:val="center"/>
        </w:trPr>
        <w:tc>
          <w:tcPr>
            <w:tcW w:w="2518" w:type="dxa"/>
            <w:tcBorders>
              <w:top w:val="single" w:color="auto" w:sz="4" w:space="0"/>
            </w:tcBorders>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临街深度（米）</w:t>
            </w:r>
          </w:p>
        </w:tc>
        <w:tc>
          <w:tcPr>
            <w:tcW w:w="1169" w:type="dxa"/>
            <w:tcBorders>
              <w:top w:val="single" w:color="auto" w:sz="4" w:space="0"/>
            </w:tcBorders>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0＜v≤2</w:t>
            </w:r>
          </w:p>
        </w:tc>
        <w:tc>
          <w:tcPr>
            <w:tcW w:w="1167" w:type="dxa"/>
            <w:tcBorders>
              <w:top w:val="single" w:color="auto" w:sz="4" w:space="0"/>
            </w:tcBorders>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2＜v≤4</w:t>
            </w:r>
          </w:p>
        </w:tc>
        <w:tc>
          <w:tcPr>
            <w:tcW w:w="1167" w:type="dxa"/>
            <w:tcBorders>
              <w:top w:val="single" w:color="auto" w:sz="4" w:space="0"/>
            </w:tcBorders>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4＜v≤6</w:t>
            </w:r>
          </w:p>
        </w:tc>
        <w:tc>
          <w:tcPr>
            <w:tcW w:w="1167" w:type="dxa"/>
            <w:tcBorders>
              <w:top w:val="single" w:color="auto" w:sz="4" w:space="0"/>
            </w:tcBorders>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6＜v≤8</w:t>
            </w:r>
          </w:p>
        </w:tc>
        <w:tc>
          <w:tcPr>
            <w:tcW w:w="1309" w:type="dxa"/>
            <w:tcBorders>
              <w:top w:val="single" w:color="auto" w:sz="4" w:space="0"/>
            </w:tcBorders>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8＜v≤10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69" w:hRule="atLeast"/>
          <w:jc w:val="center"/>
        </w:trPr>
        <w:tc>
          <w:tcPr>
            <w:tcW w:w="2518" w:type="dxa"/>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169" w:type="dxa"/>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1.38</w:t>
            </w:r>
          </w:p>
        </w:tc>
        <w:tc>
          <w:tcPr>
            <w:tcW w:w="1167" w:type="dxa"/>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1.36</w:t>
            </w:r>
          </w:p>
        </w:tc>
        <w:tc>
          <w:tcPr>
            <w:tcW w:w="1167" w:type="dxa"/>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1.25</w:t>
            </w:r>
          </w:p>
        </w:tc>
        <w:tc>
          <w:tcPr>
            <w:tcW w:w="1167" w:type="dxa"/>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1.13</w:t>
            </w:r>
          </w:p>
        </w:tc>
        <w:tc>
          <w:tcPr>
            <w:tcW w:w="1309" w:type="dxa"/>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w:t>
            </w:r>
          </w:p>
        </w:tc>
      </w:tr>
    </w:tbl>
    <w:p>
      <w:pPr>
        <w:spacing w:line="240" w:lineRule="auto"/>
        <w:rPr>
          <w:rFonts w:ascii="仿宋_GB2312" w:hAnsi="仿宋_GB2312" w:eastAsia="仿宋_GB2312" w:cs="仿宋_GB2312"/>
          <w:sz w:val="24"/>
          <w:szCs w:val="22"/>
        </w:rPr>
      </w:pPr>
      <w:r>
        <w:rPr>
          <w:rFonts w:hint="eastAsia" w:ascii="仿宋_GB2312" w:hAnsi="仿宋_GB2312" w:eastAsia="仿宋_GB2312" w:cs="仿宋_GB2312"/>
          <w:sz w:val="24"/>
          <w:szCs w:val="22"/>
        </w:rPr>
        <w:t>注：（1）对于已建成项目，深度起算点为该建筑物的铺面口，若为未建项目，深度起算点则为建筑红线；</w:t>
      </w:r>
    </w:p>
    <w:p>
      <w:pPr>
        <w:spacing w:line="240" w:lineRule="auto"/>
        <w:rPr>
          <w:rFonts w:ascii="仿宋_GB2312" w:hAnsi="仿宋_GB2312" w:eastAsia="仿宋_GB2312" w:cs="仿宋_GB2312"/>
          <w:sz w:val="24"/>
          <w:szCs w:val="22"/>
        </w:rPr>
      </w:pPr>
      <w:r>
        <w:rPr>
          <w:rFonts w:hint="eastAsia" w:ascii="仿宋_GB2312" w:hAnsi="仿宋_GB2312" w:eastAsia="仿宋_GB2312" w:cs="仿宋_GB2312"/>
          <w:sz w:val="24"/>
          <w:szCs w:val="22"/>
          <w:lang w:val="zh-CN"/>
        </w:rPr>
        <w:t>（</w:t>
      </w:r>
      <w:r>
        <w:rPr>
          <w:rFonts w:hint="eastAsia" w:ascii="仿宋_GB2312" w:hAnsi="仿宋_GB2312" w:eastAsia="仿宋_GB2312" w:cs="仿宋_GB2312"/>
          <w:sz w:val="24"/>
          <w:szCs w:val="22"/>
        </w:rPr>
        <w:t>2</w:t>
      </w:r>
      <w:r>
        <w:rPr>
          <w:rFonts w:hint="eastAsia" w:ascii="仿宋_GB2312" w:hAnsi="仿宋_GB2312" w:eastAsia="仿宋_GB2312" w:cs="仿宋_GB2312"/>
          <w:sz w:val="24"/>
          <w:szCs w:val="22"/>
          <w:lang w:val="zh-CN"/>
        </w:rPr>
        <w:t>）</w:t>
      </w:r>
      <w:r>
        <w:rPr>
          <w:rFonts w:hint="eastAsia" w:ascii="仿宋_GB2312" w:hAnsi="仿宋_GB2312" w:eastAsia="仿宋_GB2312" w:cs="仿宋_GB2312"/>
          <w:sz w:val="24"/>
          <w:szCs w:val="22"/>
        </w:rPr>
        <w:t>大于标准深度修正系数取1。</w:t>
      </w:r>
    </w:p>
    <w:p>
      <w:pPr>
        <w:numPr>
          <w:ilvl w:val="0"/>
          <w:numId w:val="7"/>
        </w:numPr>
        <w:tabs>
          <w:tab w:val="left" w:pos="0"/>
        </w:tabs>
        <w:spacing w:before="72" w:after="72"/>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宽深比修正</w:t>
      </w: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乡镇商服用地路线价宽深比修正系数表</w:t>
      </w:r>
    </w:p>
    <w:tbl>
      <w:tblPr>
        <w:tblStyle w:val="47"/>
        <w:tblW w:w="907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4"/>
        <w:gridCol w:w="914"/>
        <w:gridCol w:w="1210"/>
        <w:gridCol w:w="1206"/>
        <w:gridCol w:w="1210"/>
        <w:gridCol w:w="1210"/>
        <w:gridCol w:w="1212"/>
        <w:gridCol w:w="89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69" w:hRule="atLeast"/>
        </w:trPr>
        <w:tc>
          <w:tcPr>
            <w:tcW w:w="1214" w:type="dxa"/>
            <w:tcBorders>
              <w:top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宽深比</w:t>
            </w:r>
          </w:p>
        </w:tc>
        <w:tc>
          <w:tcPr>
            <w:tcW w:w="914" w:type="dxa"/>
            <w:tcBorders>
              <w:top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w≤0.1</w:t>
            </w:r>
          </w:p>
        </w:tc>
        <w:tc>
          <w:tcPr>
            <w:tcW w:w="1210" w:type="dxa"/>
            <w:tcBorders>
              <w:top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0.1&lt;w≤0.3</w:t>
            </w:r>
          </w:p>
        </w:tc>
        <w:tc>
          <w:tcPr>
            <w:tcW w:w="1206" w:type="dxa"/>
            <w:tcBorders>
              <w:top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0.3&lt;w≤0.5</w:t>
            </w:r>
          </w:p>
        </w:tc>
        <w:tc>
          <w:tcPr>
            <w:tcW w:w="1210" w:type="dxa"/>
            <w:tcBorders>
              <w:top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0.5&lt;w≤0.7</w:t>
            </w:r>
          </w:p>
        </w:tc>
        <w:tc>
          <w:tcPr>
            <w:tcW w:w="1210" w:type="dxa"/>
            <w:tcBorders>
              <w:top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0.7&lt;w≤0.9</w:t>
            </w:r>
          </w:p>
        </w:tc>
        <w:tc>
          <w:tcPr>
            <w:tcW w:w="1212" w:type="dxa"/>
            <w:tcBorders>
              <w:top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0.9&lt;w≤1.1</w:t>
            </w:r>
          </w:p>
        </w:tc>
        <w:tc>
          <w:tcPr>
            <w:tcW w:w="894" w:type="dxa"/>
            <w:tcBorders>
              <w:top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w＞1.1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69" w:hRule="atLeast"/>
        </w:trPr>
        <w:tc>
          <w:tcPr>
            <w:tcW w:w="121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91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0.88</w:t>
            </w:r>
          </w:p>
        </w:tc>
        <w:tc>
          <w:tcPr>
            <w:tcW w:w="121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0.97</w:t>
            </w:r>
          </w:p>
        </w:tc>
        <w:tc>
          <w:tcPr>
            <w:tcW w:w="1206"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w:t>
            </w:r>
          </w:p>
        </w:tc>
        <w:tc>
          <w:tcPr>
            <w:tcW w:w="121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1.03</w:t>
            </w:r>
          </w:p>
        </w:tc>
        <w:tc>
          <w:tcPr>
            <w:tcW w:w="1210"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1.08</w:t>
            </w:r>
          </w:p>
        </w:tc>
        <w:tc>
          <w:tcPr>
            <w:tcW w:w="1212"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1.1</w:t>
            </w:r>
          </w:p>
        </w:tc>
        <w:tc>
          <w:tcPr>
            <w:tcW w:w="894" w:type="dxa"/>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1.18</w:t>
            </w:r>
          </w:p>
        </w:tc>
      </w:tr>
    </w:tbl>
    <w:p>
      <w:pPr>
        <w:spacing w:line="240" w:lineRule="auto"/>
        <w:rPr>
          <w:rFonts w:ascii="仿宋_GB2312" w:hAnsi="仿宋_GB2312" w:eastAsia="仿宋_GB2312" w:cs="仿宋_GB2312"/>
          <w:sz w:val="24"/>
          <w:szCs w:val="22"/>
        </w:rPr>
      </w:pPr>
      <w:r>
        <w:rPr>
          <w:rFonts w:hint="eastAsia" w:ascii="仿宋_GB2312" w:hAnsi="仿宋_GB2312" w:eastAsia="仿宋_GB2312" w:cs="仿宋_GB2312"/>
          <w:sz w:val="24"/>
          <w:szCs w:val="22"/>
        </w:rPr>
        <w:t>注：（1）宽深比修正适用于已建成的宗地和待开发宗地；（2）深度在标准深度（10米）以内的，计算宽深比时，宽度取实际宽度，深度取实际深度；超过标准深度（10米）的，计算宽深比时，宽度取实际宽度，深度取标准深度（10米）。</w:t>
      </w:r>
    </w:p>
    <w:p>
      <w:pPr>
        <w:numPr>
          <w:ilvl w:val="0"/>
          <w:numId w:val="7"/>
        </w:numPr>
        <w:tabs>
          <w:tab w:val="left" w:pos="0"/>
        </w:tabs>
        <w:spacing w:before="72" w:after="72"/>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其他个别因素修正系数</w:t>
      </w:r>
      <w:bookmarkEnd w:id="108"/>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参照城区商服用地其他个别因素修正系数。</w:t>
      </w:r>
    </w:p>
    <w:p>
      <w:pPr>
        <w:numPr>
          <w:ilvl w:val="0"/>
          <w:numId w:val="7"/>
        </w:numPr>
        <w:tabs>
          <w:tab w:val="left" w:pos="0"/>
        </w:tabs>
        <w:spacing w:before="72" w:after="72"/>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土地剩余使用年期修正系数</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lang w:val="zh-CN"/>
        </w:rPr>
        <w:t>土地剩余使用年期修正公式为：</w:t>
      </w:r>
    </w:p>
    <w:p>
      <w:pPr>
        <w:spacing w:line="240" w:lineRule="auto"/>
        <w:ind w:firstLine="0" w:firstLineChars="0"/>
        <w:jc w:val="center"/>
        <w:rPr>
          <w:rFonts w:cs="仿宋"/>
          <w:sz w:val="24"/>
          <w:szCs w:val="22"/>
        </w:rPr>
      </w:pPr>
      <w:r>
        <w:rPr>
          <w:rFonts w:hint="eastAsia" w:cs="仿宋"/>
          <w:position w:val="-36"/>
          <w:sz w:val="24"/>
          <w:szCs w:val="22"/>
        </w:rPr>
        <w:object>
          <v:shape id="_x0000_i1050" o:spt="75" type="#_x0000_t75" style="height:41.9pt;width:165.5pt;" o:ole="t" filled="f" o:preferrelative="t" stroked="f" coordsize="21600,21600">
            <v:path/>
            <v:fill on="f" focussize="0,0"/>
            <v:stroke on="f" joinstyle="miter"/>
            <v:imagedata r:id="rId65" o:title=""/>
            <o:lock v:ext="edit" aspectratio="t"/>
            <w10:wrap type="none"/>
            <w10:anchorlock/>
          </v:shape>
          <o:OLEObject Type="Embed" ProgID="Equation.3" ShapeID="_x0000_i1050" DrawAspect="Content" ObjectID="_1468075750" r:id="rId64">
            <o:LockedField>false</o:LockedField>
          </o:OLEObject>
        </w:object>
      </w:r>
    </w:p>
    <w:p>
      <w:pPr>
        <w:rPr>
          <w:rFonts w:ascii="仿宋_GB2312" w:hAnsi="仿宋_GB2312" w:eastAsia="仿宋_GB2312" w:cs="仿宋_GB2312"/>
          <w:sz w:val="24"/>
        </w:rPr>
      </w:pPr>
      <w:r>
        <w:rPr>
          <w:rFonts w:hint="eastAsia" w:ascii="仿宋_GB2312" w:hAnsi="仿宋_GB2312" w:eastAsia="仿宋_GB2312" w:cs="仿宋_GB2312"/>
          <w:sz w:val="24"/>
        </w:rPr>
        <w:t>式中：</w:t>
      </w:r>
      <w:r>
        <w:rPr>
          <w:rFonts w:hint="eastAsia" w:ascii="仿宋_GB2312" w:hAnsi="仿宋_GB2312" w:eastAsia="仿宋_GB2312" w:cs="仿宋_GB2312"/>
          <w:position w:val="-4"/>
          <w:sz w:val="24"/>
        </w:rPr>
        <w:object>
          <v:shape id="_x0000_i1051" o:spt="75" type="#_x0000_t75" style="height:9.65pt;width:8.6pt;" o:ole="t" filled="f" o:preferrelative="t" stroked="f" coordsize="21600,21600">
            <v:path/>
            <v:fill on="f" focussize="0,0"/>
            <v:stroke on="f" joinstyle="miter"/>
            <v:imagedata r:id="rId67" o:title=""/>
            <o:lock v:ext="edit" aspectratio="t"/>
            <w10:wrap type="none"/>
            <w10:anchorlock/>
          </v:shape>
          <o:OLEObject Type="Embed" ProgID="Equation.3" ShapeID="_x0000_i1051" DrawAspect="Content" ObjectID="_1468075751" r:id="rId66">
            <o:LockedField>false</o:LockedField>
          </o:OLEObject>
        </w:object>
      </w:r>
      <w:r>
        <w:rPr>
          <w:rFonts w:hint="eastAsia" w:ascii="仿宋_GB2312" w:hAnsi="仿宋_GB2312" w:eastAsia="仿宋_GB2312" w:cs="仿宋_GB2312"/>
          <w:sz w:val="24"/>
        </w:rPr>
        <w:t>——土地还原率；</w:t>
      </w:r>
      <w:r>
        <w:rPr>
          <w:rFonts w:hint="eastAsia" w:ascii="仿宋_GB2312" w:hAnsi="仿宋_GB2312" w:eastAsia="仿宋_GB2312" w:cs="仿宋_GB2312"/>
          <w:position w:val="-6"/>
          <w:sz w:val="24"/>
        </w:rPr>
        <w:object>
          <v:shape id="_x0000_i1052" o:spt="75" type="#_x0000_t75" style="height:10.75pt;width:12.9pt;" o:ole="t" filled="f" o:preferrelative="t" stroked="f" coordsize="21600,21600">
            <v:path/>
            <v:fill on="f" focussize="0,0"/>
            <v:stroke on="f" joinstyle="miter"/>
            <v:imagedata r:id="rId69" o:title=""/>
            <o:lock v:ext="edit" aspectratio="t"/>
            <w10:wrap type="none"/>
            <w10:anchorlock/>
          </v:shape>
          <o:OLEObject Type="Embed" ProgID="Equation.3" ShapeID="_x0000_i1052" DrawAspect="Content" ObjectID="_1468075752" r:id="rId68">
            <o:LockedField>false</o:LockedField>
          </o:OLEObject>
        </w:object>
      </w:r>
      <w:r>
        <w:rPr>
          <w:rFonts w:hint="eastAsia" w:ascii="仿宋_GB2312" w:hAnsi="仿宋_GB2312" w:eastAsia="仿宋_GB2312" w:cs="仿宋_GB2312"/>
          <w:sz w:val="24"/>
        </w:rPr>
        <w:t>——土地使用权法定最高出让年限40年；</w:t>
      </w:r>
    </w:p>
    <w:p>
      <w:pPr>
        <w:ind w:firstLine="1200" w:firstLineChars="500"/>
        <w:rPr>
          <w:rFonts w:ascii="仿宋_GB2312" w:hAnsi="仿宋_GB2312" w:eastAsia="仿宋_GB2312" w:cs="仿宋_GB2312"/>
          <w:sz w:val="24"/>
        </w:rPr>
      </w:pPr>
      <w:r>
        <w:rPr>
          <w:rFonts w:hint="eastAsia" w:ascii="仿宋_GB2312" w:hAnsi="仿宋_GB2312" w:eastAsia="仿宋_GB2312" w:cs="仿宋_GB2312"/>
          <w:position w:val="-6"/>
          <w:sz w:val="24"/>
        </w:rPr>
        <w:object>
          <v:shape id="_x0000_i1053" o:spt="75" type="#_x0000_t75" style="height:10.75pt;width:9.65pt;" o:ole="t" filled="f" o:preferrelative="t" stroked="f" coordsize="21600,21600">
            <v:path/>
            <v:fill on="f" focussize="0,0"/>
            <v:stroke on="f" joinstyle="miter"/>
            <v:imagedata r:id="rId71" o:title=""/>
            <o:lock v:ext="edit" aspectratio="t"/>
            <w10:wrap type="none"/>
            <w10:anchorlock/>
          </v:shape>
          <o:OLEObject Type="Embed" ProgID="Equation.3" ShapeID="_x0000_i1053" DrawAspect="Content" ObjectID="_1468075753" r:id="rId70">
            <o:LockedField>false</o:LockedField>
          </o:OLEObject>
        </w:object>
      </w:r>
      <w:r>
        <w:rPr>
          <w:rFonts w:hint="eastAsia" w:ascii="仿宋_GB2312" w:hAnsi="仿宋_GB2312" w:eastAsia="仿宋_GB2312" w:cs="仿宋_GB2312"/>
          <w:sz w:val="24"/>
        </w:rPr>
        <w:t>——土地剩余使用年期；</w:t>
      </w:r>
      <w:r>
        <w:rPr>
          <w:rFonts w:hint="eastAsia" w:ascii="仿宋_GB2312" w:hAnsi="仿宋_GB2312" w:eastAsia="仿宋_GB2312" w:cs="仿宋_GB2312"/>
          <w:position w:val="-4"/>
          <w:sz w:val="24"/>
        </w:rPr>
        <w:object>
          <v:shape id="_x0000_i1054" o:spt="75" type="#_x0000_t75" style="height:12.9pt;width:10.75pt;" o:ole="t" filled="f" o:preferrelative="t" stroked="f" coordsize="21600,21600">
            <v:path/>
            <v:fill on="f" focussize="0,0"/>
            <v:stroke on="f" joinstyle="miter"/>
            <v:imagedata r:id="rId73" o:title=""/>
            <o:lock v:ext="edit" aspectratio="t"/>
            <w10:wrap type="none"/>
            <w10:anchorlock/>
          </v:shape>
          <o:OLEObject Type="Embed" ProgID="Equation.3" ShapeID="_x0000_i1054" DrawAspect="Content" ObjectID="_1468075754" r:id="rId72">
            <o:LockedField>false</o:LockedField>
          </o:OLEObject>
        </w:object>
      </w:r>
      <w:r>
        <w:rPr>
          <w:rFonts w:hint="eastAsia" w:ascii="仿宋_GB2312" w:hAnsi="仿宋_GB2312" w:eastAsia="仿宋_GB2312" w:cs="仿宋_GB2312"/>
          <w:sz w:val="24"/>
        </w:rPr>
        <w:t>——土地剩余使用年期修正系数。</w:t>
      </w: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乡镇商服用地剩余使用年期修正系数表（土地还原率为5.3%）</w:t>
      </w:r>
    </w:p>
    <w:tbl>
      <w:tblPr>
        <w:tblStyle w:val="47"/>
        <w:tblW w:w="928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5"/>
        <w:gridCol w:w="805"/>
        <w:gridCol w:w="805"/>
        <w:gridCol w:w="805"/>
        <w:gridCol w:w="805"/>
        <w:gridCol w:w="805"/>
        <w:gridCol w:w="805"/>
        <w:gridCol w:w="805"/>
        <w:gridCol w:w="805"/>
        <w:gridCol w:w="805"/>
        <w:gridCol w:w="8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1" w:hRule="atLeast"/>
          <w:jc w:val="center"/>
        </w:trPr>
        <w:tc>
          <w:tcPr>
            <w:tcW w:w="1235" w:type="dxa"/>
            <w:tcBorders>
              <w:top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bookmarkStart w:id="109" w:name="_Toc5062031"/>
            <w:r>
              <w:rPr>
                <w:rFonts w:hint="eastAsia" w:ascii="仿宋_GB2312" w:hAnsi="仿宋_GB2312" w:eastAsia="仿宋_GB2312" w:cs="仿宋_GB2312"/>
                <w:kern w:val="0"/>
                <w:sz w:val="24"/>
              </w:rPr>
              <w:t>剩余年期</w:t>
            </w:r>
          </w:p>
        </w:tc>
        <w:tc>
          <w:tcPr>
            <w:tcW w:w="805" w:type="dxa"/>
            <w:tcBorders>
              <w:top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w:t>
            </w:r>
          </w:p>
        </w:tc>
        <w:tc>
          <w:tcPr>
            <w:tcW w:w="805" w:type="dxa"/>
            <w:tcBorders>
              <w:top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w:t>
            </w:r>
          </w:p>
        </w:tc>
        <w:tc>
          <w:tcPr>
            <w:tcW w:w="805" w:type="dxa"/>
            <w:tcBorders>
              <w:top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w:t>
            </w:r>
          </w:p>
        </w:tc>
        <w:tc>
          <w:tcPr>
            <w:tcW w:w="805" w:type="dxa"/>
            <w:tcBorders>
              <w:top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w:t>
            </w:r>
          </w:p>
        </w:tc>
        <w:tc>
          <w:tcPr>
            <w:tcW w:w="805" w:type="dxa"/>
            <w:tcBorders>
              <w:top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5</w:t>
            </w:r>
          </w:p>
        </w:tc>
        <w:tc>
          <w:tcPr>
            <w:tcW w:w="805" w:type="dxa"/>
            <w:tcBorders>
              <w:top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6</w:t>
            </w:r>
          </w:p>
        </w:tc>
        <w:tc>
          <w:tcPr>
            <w:tcW w:w="805" w:type="dxa"/>
            <w:tcBorders>
              <w:top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7</w:t>
            </w:r>
          </w:p>
        </w:tc>
        <w:tc>
          <w:tcPr>
            <w:tcW w:w="805" w:type="dxa"/>
            <w:tcBorders>
              <w:top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8</w:t>
            </w:r>
          </w:p>
        </w:tc>
        <w:tc>
          <w:tcPr>
            <w:tcW w:w="805" w:type="dxa"/>
            <w:tcBorders>
              <w:top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9</w:t>
            </w:r>
          </w:p>
        </w:tc>
        <w:tc>
          <w:tcPr>
            <w:tcW w:w="805" w:type="dxa"/>
            <w:tcBorders>
              <w:top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1235" w:type="dxa"/>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0.0576</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0.1124</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0.1644</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0.2137</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0.2606</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0.3051</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0.3474</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0.3875</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0.4257</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0.4619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1" w:hRule="atLeast"/>
          <w:jc w:val="center"/>
        </w:trPr>
        <w:tc>
          <w:tcPr>
            <w:tcW w:w="1235" w:type="dxa"/>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剩余年期</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11</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12</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13</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14</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15</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16</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17</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18</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19</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1235" w:type="dxa"/>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0.4963</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0.5289</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0.5599</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0.5894</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0.6174</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0.6439</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0.6692</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0.6931</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0.7159</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0.7375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1" w:hRule="atLeast"/>
          <w:jc w:val="center"/>
        </w:trPr>
        <w:tc>
          <w:tcPr>
            <w:tcW w:w="1235" w:type="dxa"/>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剩余年期</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21</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22</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23</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24</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25</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26</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27</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28</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29</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1235" w:type="dxa"/>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0.758</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0.7775</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0.796</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0.8136</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0.8302</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0.8461</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0.8611</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0.8754</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0.889</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1" w:hRule="atLeast"/>
          <w:jc w:val="center"/>
        </w:trPr>
        <w:tc>
          <w:tcPr>
            <w:tcW w:w="1235" w:type="dxa"/>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剩余年期</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31</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32</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33</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34</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35</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36</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37</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38</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39</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235" w:type="dxa"/>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0.9141</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0.9258</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0.9368</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0.9473</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0.9572</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0.9667</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0.9757</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0.9842</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0.9923</w:t>
            </w:r>
          </w:p>
        </w:tc>
        <w:tc>
          <w:tcPr>
            <w:tcW w:w="80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w:t>
            </w:r>
          </w:p>
        </w:tc>
      </w:tr>
    </w:tbl>
    <w:p>
      <w:pPr>
        <w:numPr>
          <w:ilvl w:val="0"/>
          <w:numId w:val="7"/>
        </w:numPr>
        <w:tabs>
          <w:tab w:val="left" w:pos="0"/>
        </w:tabs>
        <w:spacing w:before="72" w:after="72"/>
        <w:ind w:firstLineChars="0"/>
        <w:rPr>
          <w:rFonts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土地开发程度修正值</w:t>
      </w:r>
      <w:bookmarkEnd w:id="109"/>
    </w:p>
    <w:p>
      <w:pPr>
        <w:numPr>
          <w:ilvl w:val="0"/>
          <w:numId w:val="1"/>
        </w:numPr>
        <w:tabs>
          <w:tab w:val="left" w:pos="0"/>
        </w:tabs>
        <w:ind w:firstLineChars="0"/>
        <w:jc w:val="center"/>
        <w:rPr>
          <w:rFonts w:ascii="仿宋_GB2312" w:hAnsi="仿宋_GB2312" w:eastAsia="仿宋_GB2312" w:cs="仿宋_GB2312"/>
          <w:sz w:val="32"/>
          <w:szCs w:val="32"/>
          <w:lang w:val="zh-CN"/>
        </w:rPr>
      </w:pPr>
      <w:r>
        <w:rPr>
          <w:rFonts w:hint="eastAsia" w:ascii="仿宋_GB2312" w:hAnsi="仿宋_GB2312" w:eastAsia="仿宋_GB2312" w:cs="仿宋_GB2312"/>
          <w:sz w:val="32"/>
          <w:szCs w:val="32"/>
        </w:rPr>
        <w:t>土地使用开发程度修正表（土地面积）</w:t>
      </w:r>
    </w:p>
    <w:tbl>
      <w:tblPr>
        <w:tblStyle w:val="47"/>
        <w:tblW w:w="9286"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34"/>
        <w:gridCol w:w="953"/>
        <w:gridCol w:w="1010"/>
        <w:gridCol w:w="929"/>
        <w:gridCol w:w="930"/>
        <w:gridCol w:w="929"/>
        <w:gridCol w:w="930"/>
        <w:gridCol w:w="943"/>
        <w:gridCol w:w="122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69" w:hRule="atLeast"/>
          <w:tblHeader/>
          <w:jc w:val="center"/>
        </w:trPr>
        <w:tc>
          <w:tcPr>
            <w:tcW w:w="1434" w:type="dxa"/>
            <w:vMerge w:val="restart"/>
            <w:tcBorders>
              <w:top w:val="single" w:color="auto" w:sz="4" w:space="0"/>
              <w:left w:val="single" w:color="auto" w:sz="4" w:space="0"/>
              <w:bottom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土地开发</w:t>
            </w:r>
          </w:p>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程度</w:t>
            </w:r>
          </w:p>
        </w:tc>
        <w:tc>
          <w:tcPr>
            <w:tcW w:w="6624" w:type="dxa"/>
            <w:gridSpan w:val="7"/>
            <w:tcBorders>
              <w:top w:val="single" w:color="auto" w:sz="4" w:space="0"/>
              <w:bottom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开发项目及成本（元/平方米）</w:t>
            </w:r>
          </w:p>
        </w:tc>
        <w:tc>
          <w:tcPr>
            <w:tcW w:w="1228" w:type="dxa"/>
            <w:tcBorders>
              <w:top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合计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69" w:hRule="atLeast"/>
          <w:tblHeader/>
          <w:jc w:val="center"/>
        </w:trPr>
        <w:tc>
          <w:tcPr>
            <w:tcW w:w="1434" w:type="dxa"/>
            <w:vMerge w:val="continue"/>
            <w:tcBorders>
              <w:top w:val="single" w:color="auto" w:sz="4" w:space="0"/>
              <w:left w:val="single" w:color="auto" w:sz="4" w:space="0"/>
            </w:tcBorders>
            <w:shd w:val="clear" w:color="auto" w:fill="auto"/>
            <w:vAlign w:val="center"/>
          </w:tcPr>
          <w:p>
            <w:pPr>
              <w:spacing w:line="240" w:lineRule="auto"/>
              <w:ind w:firstLine="0" w:firstLineChars="0"/>
              <w:jc w:val="center"/>
              <w:rPr>
                <w:rFonts w:ascii="仿宋_GB2312" w:hAnsi="仿宋_GB2312" w:eastAsia="仿宋_GB2312" w:cs="仿宋_GB2312"/>
                <w:kern w:val="0"/>
                <w:sz w:val="24"/>
              </w:rPr>
            </w:pPr>
          </w:p>
        </w:tc>
        <w:tc>
          <w:tcPr>
            <w:tcW w:w="953" w:type="dxa"/>
            <w:tcBorders>
              <w:top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通上水</w:t>
            </w:r>
          </w:p>
        </w:tc>
        <w:tc>
          <w:tcPr>
            <w:tcW w:w="1010" w:type="dxa"/>
            <w:tcBorders>
              <w:top w:val="single" w:color="auto" w:sz="4" w:space="0"/>
            </w:tcBorders>
            <w:shd w:val="clear" w:color="auto" w:fill="auto"/>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通下水</w:t>
            </w:r>
          </w:p>
        </w:tc>
        <w:tc>
          <w:tcPr>
            <w:tcW w:w="929" w:type="dxa"/>
            <w:tcBorders>
              <w:top w:val="single" w:color="auto" w:sz="4" w:space="0"/>
            </w:tcBorders>
            <w:shd w:val="clear" w:color="auto" w:fill="auto"/>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通电</w:t>
            </w:r>
          </w:p>
        </w:tc>
        <w:tc>
          <w:tcPr>
            <w:tcW w:w="930" w:type="dxa"/>
            <w:tcBorders>
              <w:top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通讯</w:t>
            </w:r>
          </w:p>
        </w:tc>
        <w:tc>
          <w:tcPr>
            <w:tcW w:w="929" w:type="dxa"/>
            <w:tcBorders>
              <w:top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通路</w:t>
            </w:r>
          </w:p>
        </w:tc>
        <w:tc>
          <w:tcPr>
            <w:tcW w:w="930" w:type="dxa"/>
            <w:tcBorders>
              <w:top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通气</w:t>
            </w:r>
          </w:p>
        </w:tc>
        <w:tc>
          <w:tcPr>
            <w:tcW w:w="943" w:type="dxa"/>
            <w:tcBorders>
              <w:top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平整</w:t>
            </w:r>
          </w:p>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土地</w:t>
            </w:r>
          </w:p>
        </w:tc>
        <w:tc>
          <w:tcPr>
            <w:tcW w:w="1228" w:type="dxa"/>
            <w:tcBorders>
              <w:top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元/平方米</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69" w:hRule="atLeast"/>
          <w:jc w:val="center"/>
        </w:trPr>
        <w:tc>
          <w:tcPr>
            <w:tcW w:w="1434" w:type="dxa"/>
            <w:tcBorders>
              <w:left w:val="single" w:color="auto" w:sz="4" w:space="0"/>
              <w:bottom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取值范围</w:t>
            </w:r>
          </w:p>
        </w:tc>
        <w:tc>
          <w:tcPr>
            <w:tcW w:w="953" w:type="dxa"/>
            <w:tcBorders>
              <w:bottom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10～30</w:t>
            </w:r>
          </w:p>
        </w:tc>
        <w:tc>
          <w:tcPr>
            <w:tcW w:w="1010" w:type="dxa"/>
            <w:tcBorders>
              <w:bottom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5～15</w:t>
            </w:r>
          </w:p>
        </w:tc>
        <w:tc>
          <w:tcPr>
            <w:tcW w:w="929" w:type="dxa"/>
            <w:tcBorders>
              <w:bottom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15～45</w:t>
            </w:r>
          </w:p>
        </w:tc>
        <w:tc>
          <w:tcPr>
            <w:tcW w:w="930" w:type="dxa"/>
            <w:tcBorders>
              <w:bottom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5～15</w:t>
            </w:r>
          </w:p>
        </w:tc>
        <w:tc>
          <w:tcPr>
            <w:tcW w:w="929" w:type="dxa"/>
            <w:tcBorders>
              <w:bottom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20～45</w:t>
            </w:r>
          </w:p>
        </w:tc>
        <w:tc>
          <w:tcPr>
            <w:tcW w:w="930" w:type="dxa"/>
            <w:tcBorders>
              <w:bottom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10～20</w:t>
            </w:r>
          </w:p>
        </w:tc>
        <w:tc>
          <w:tcPr>
            <w:tcW w:w="943" w:type="dxa"/>
            <w:tcBorders>
              <w:bottom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15～45</w:t>
            </w:r>
          </w:p>
        </w:tc>
        <w:tc>
          <w:tcPr>
            <w:tcW w:w="1228" w:type="dxa"/>
            <w:tcBorders>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80～215</w:t>
            </w:r>
          </w:p>
        </w:tc>
      </w:tr>
    </w:tbl>
    <w:p>
      <w:pPr>
        <w:adjustRightInd w:val="0"/>
        <w:snapToGrid w:val="0"/>
        <w:spacing w:line="240" w:lineRule="auto"/>
        <w:rPr>
          <w:rFonts w:ascii="仿宋_GB2312" w:hAnsi="仿宋_GB2312" w:eastAsia="仿宋_GB2312" w:cs="仿宋_GB2312"/>
          <w:sz w:val="24"/>
        </w:rPr>
      </w:pPr>
      <w:r>
        <w:rPr>
          <w:rFonts w:hint="eastAsia" w:ascii="仿宋_GB2312" w:hAnsi="仿宋_GB2312" w:eastAsia="仿宋_GB2312" w:cs="仿宋_GB2312"/>
          <w:sz w:val="24"/>
        </w:rPr>
        <w:t>注：该项修正为地面价修正系数，若对楼面价进行修正，则需先转换为楼面价修正系数，即开发程度楼面价修正系数=开发程度地面价修正系数/容积率</w:t>
      </w:r>
    </w:p>
    <w:p>
      <w:pPr>
        <w:adjustRightInd w:val="0"/>
        <w:spacing w:line="580" w:lineRule="exact"/>
        <w:ind w:firstLine="640"/>
        <w:rPr>
          <w:rFonts w:ascii="楷体_GB2312" w:hAnsi="楷体_GB2312" w:eastAsia="楷体_GB2312" w:cs="楷体_GB2312"/>
          <w:snapToGrid w:val="0"/>
          <w:color w:val="000000"/>
          <w:kern w:val="0"/>
          <w:sz w:val="32"/>
          <w:szCs w:val="32"/>
        </w:rPr>
      </w:pPr>
      <w:bookmarkStart w:id="110" w:name="_Toc30013"/>
      <w:r>
        <w:rPr>
          <w:rFonts w:hint="eastAsia" w:ascii="楷体_GB2312" w:hAnsi="楷体_GB2312" w:eastAsia="楷体_GB2312" w:cs="楷体_GB2312"/>
          <w:snapToGrid w:val="0"/>
          <w:color w:val="000000"/>
          <w:kern w:val="0"/>
          <w:sz w:val="32"/>
          <w:szCs w:val="32"/>
        </w:rPr>
        <w:t>（七）乡镇住宅用地宗地地价修正体系编制</w:t>
      </w:r>
      <w:bookmarkEnd w:id="110"/>
    </w:p>
    <w:p>
      <w:pPr>
        <w:numPr>
          <w:ilvl w:val="0"/>
          <w:numId w:val="8"/>
        </w:numPr>
        <w:tabs>
          <w:tab w:val="left" w:pos="0"/>
        </w:tabs>
        <w:spacing w:before="72" w:after="72"/>
        <w:ind w:firstLineChars="0"/>
        <w:rPr>
          <w:rFonts w:ascii="仿宋_GB2312" w:hAnsi="仿宋_GB2312" w:eastAsia="仿宋_GB2312" w:cs="仿宋_GB2312"/>
          <w:sz w:val="32"/>
          <w:szCs w:val="32"/>
        </w:rPr>
      </w:pPr>
      <w:bookmarkStart w:id="111" w:name="_Toc5062034"/>
      <w:r>
        <w:rPr>
          <w:rFonts w:hint="eastAsia" w:ascii="仿宋_GB2312" w:hAnsi="仿宋_GB2312" w:eastAsia="仿宋_GB2312" w:cs="仿宋_GB2312"/>
          <w:sz w:val="32"/>
          <w:szCs w:val="32"/>
        </w:rPr>
        <w:t>区域因素修正系数</w:t>
      </w:r>
      <w:bookmarkEnd w:id="111"/>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乡镇住宅用地基准地价修正因素说明表</w:t>
      </w:r>
    </w:p>
    <w:tbl>
      <w:tblPr>
        <w:tblStyle w:val="47"/>
        <w:tblW w:w="9286" w:type="dxa"/>
        <w:jc w:val="center"/>
        <w:tblInd w:w="0" w:type="dxa"/>
        <w:tblLayout w:type="fixed"/>
        <w:tblCellMar>
          <w:top w:w="0" w:type="dxa"/>
          <w:left w:w="108" w:type="dxa"/>
          <w:bottom w:w="0" w:type="dxa"/>
          <w:right w:w="108" w:type="dxa"/>
        </w:tblCellMar>
      </w:tblPr>
      <w:tblGrid>
        <w:gridCol w:w="1662"/>
        <w:gridCol w:w="1535"/>
        <w:gridCol w:w="1520"/>
        <w:gridCol w:w="1520"/>
        <w:gridCol w:w="1520"/>
        <w:gridCol w:w="1529"/>
      </w:tblGrid>
      <w:tr>
        <w:tblPrEx>
          <w:tblLayout w:type="fixed"/>
          <w:tblCellMar>
            <w:top w:w="0" w:type="dxa"/>
            <w:left w:w="108" w:type="dxa"/>
            <w:bottom w:w="0" w:type="dxa"/>
            <w:right w:w="108" w:type="dxa"/>
          </w:tblCellMar>
        </w:tblPrEx>
        <w:trPr>
          <w:trHeight w:val="285" w:hRule="atLeast"/>
          <w:tblHeader/>
          <w:jc w:val="center"/>
        </w:trPr>
        <w:tc>
          <w:tcPr>
            <w:tcW w:w="166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因素/优劣度</w:t>
            </w:r>
          </w:p>
        </w:tc>
        <w:tc>
          <w:tcPr>
            <w:tcW w:w="153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优</w:t>
            </w:r>
          </w:p>
        </w:tc>
        <w:tc>
          <w:tcPr>
            <w:tcW w:w="15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较优</w:t>
            </w:r>
          </w:p>
        </w:tc>
        <w:tc>
          <w:tcPr>
            <w:tcW w:w="15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一般</w:t>
            </w:r>
          </w:p>
        </w:tc>
        <w:tc>
          <w:tcPr>
            <w:tcW w:w="15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较劣</w:t>
            </w:r>
          </w:p>
        </w:tc>
        <w:tc>
          <w:tcPr>
            <w:tcW w:w="152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劣</w:t>
            </w:r>
          </w:p>
        </w:tc>
      </w:tr>
      <w:tr>
        <w:tblPrEx>
          <w:tblLayout w:type="fixed"/>
          <w:tblCellMar>
            <w:top w:w="0" w:type="dxa"/>
            <w:left w:w="108" w:type="dxa"/>
            <w:bottom w:w="0" w:type="dxa"/>
            <w:right w:w="108" w:type="dxa"/>
          </w:tblCellMar>
        </w:tblPrEx>
        <w:trPr>
          <w:trHeight w:val="328"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基本设施状况</w:t>
            </w:r>
          </w:p>
        </w:tc>
        <w:tc>
          <w:tcPr>
            <w:tcW w:w="153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市政供水，供电保证率高，排水状况好，周围学校、银行、邮电局（所）、医院等生活设施配套完备</w:t>
            </w:r>
          </w:p>
        </w:tc>
        <w:tc>
          <w:tcPr>
            <w:tcW w:w="15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市政供水，供电保证率较高，排水状况较好，周围学校、银行、邮电局（所）、医院等生活设施配套较完备</w:t>
            </w:r>
          </w:p>
        </w:tc>
        <w:tc>
          <w:tcPr>
            <w:tcW w:w="15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市政供水，供电保证率一般，排水状况一般，周围学校、银行、邮电局（所）、医院等生活设施配套一般</w:t>
            </w:r>
          </w:p>
        </w:tc>
        <w:tc>
          <w:tcPr>
            <w:tcW w:w="15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市政供水，供电保证率较低，排水状况较差，离学校、银行、邮电局（所）、医院等生活设施有一定的距离</w:t>
            </w:r>
          </w:p>
        </w:tc>
        <w:tc>
          <w:tcPr>
            <w:tcW w:w="152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市政供水，供电保证率低，排水状况差，离学校、银行、邮电局（所）、医院较远，生活设施配套不完备</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53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4.3557%</w:t>
            </w:r>
          </w:p>
        </w:tc>
        <w:tc>
          <w:tcPr>
            <w:tcW w:w="15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2.1778%</w:t>
            </w:r>
          </w:p>
        </w:tc>
        <w:tc>
          <w:tcPr>
            <w:tcW w:w="15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-2.1778%</w:t>
            </w:r>
          </w:p>
        </w:tc>
        <w:tc>
          <w:tcPr>
            <w:tcW w:w="152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-4.3557%</w:t>
            </w:r>
          </w:p>
        </w:tc>
      </w:tr>
      <w:tr>
        <w:tblPrEx>
          <w:tblLayout w:type="fixed"/>
          <w:tblCellMar>
            <w:top w:w="0" w:type="dxa"/>
            <w:left w:w="108" w:type="dxa"/>
            <w:bottom w:w="0" w:type="dxa"/>
            <w:right w:w="108" w:type="dxa"/>
          </w:tblCellMar>
        </w:tblPrEx>
        <w:trPr>
          <w:trHeight w:val="108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交通条件</w:t>
            </w:r>
          </w:p>
        </w:tc>
        <w:tc>
          <w:tcPr>
            <w:tcW w:w="153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道路通达度高，距汽车站、货运站、高速公路出入口近，对外交通便利</w:t>
            </w:r>
          </w:p>
        </w:tc>
        <w:tc>
          <w:tcPr>
            <w:tcW w:w="15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道路通达度较高，距汽车站、货运站、高速公路出入口较近，对外交通较便利</w:t>
            </w:r>
          </w:p>
        </w:tc>
        <w:tc>
          <w:tcPr>
            <w:tcW w:w="15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道路通达度一般，距汽车站、货运站、高速公路出入口一般，对外交通一般</w:t>
            </w:r>
          </w:p>
        </w:tc>
        <w:tc>
          <w:tcPr>
            <w:tcW w:w="15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道路通达度较低，距汽车站、货运站、高速公路出入口较远，对外交通较差</w:t>
            </w:r>
          </w:p>
        </w:tc>
        <w:tc>
          <w:tcPr>
            <w:tcW w:w="152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道路通达度低，距汽车站、货运站、高速公路出入口远，对外交通差</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53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3.7378%</w:t>
            </w:r>
          </w:p>
        </w:tc>
        <w:tc>
          <w:tcPr>
            <w:tcW w:w="15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1.8689%</w:t>
            </w:r>
          </w:p>
        </w:tc>
        <w:tc>
          <w:tcPr>
            <w:tcW w:w="15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-1.8689%</w:t>
            </w:r>
          </w:p>
        </w:tc>
        <w:tc>
          <w:tcPr>
            <w:tcW w:w="152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-3.7378%</w:t>
            </w:r>
          </w:p>
        </w:tc>
      </w:tr>
      <w:tr>
        <w:tblPrEx>
          <w:tblLayout w:type="fixed"/>
          <w:tblCellMar>
            <w:top w:w="0" w:type="dxa"/>
            <w:left w:w="108" w:type="dxa"/>
            <w:bottom w:w="0" w:type="dxa"/>
            <w:right w:w="108" w:type="dxa"/>
          </w:tblCellMar>
        </w:tblPrEx>
        <w:trPr>
          <w:trHeight w:val="135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环境条件</w:t>
            </w:r>
          </w:p>
        </w:tc>
        <w:tc>
          <w:tcPr>
            <w:tcW w:w="153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周围绿化程度高、低噪音、环境优美、无水污染</w:t>
            </w:r>
          </w:p>
        </w:tc>
        <w:tc>
          <w:tcPr>
            <w:tcW w:w="15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周围绿化程度较高、噪音较低、基本无水污染</w:t>
            </w:r>
          </w:p>
        </w:tc>
        <w:tc>
          <w:tcPr>
            <w:tcW w:w="15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周围有一定的绿化、有轻微的噪音污染、水污染</w:t>
            </w:r>
          </w:p>
        </w:tc>
        <w:tc>
          <w:tcPr>
            <w:tcW w:w="15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周围绿化程度较低、噪音污染较大，水污染较严重</w:t>
            </w:r>
          </w:p>
        </w:tc>
        <w:tc>
          <w:tcPr>
            <w:tcW w:w="152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周围绿化程度低或没绿化、噪音大，水污染严重</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53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3.3892%</w:t>
            </w:r>
          </w:p>
        </w:tc>
        <w:tc>
          <w:tcPr>
            <w:tcW w:w="15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1.6946%</w:t>
            </w:r>
          </w:p>
        </w:tc>
        <w:tc>
          <w:tcPr>
            <w:tcW w:w="15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-1.6946%</w:t>
            </w:r>
          </w:p>
        </w:tc>
        <w:tc>
          <w:tcPr>
            <w:tcW w:w="152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-3.3892%</w:t>
            </w:r>
          </w:p>
        </w:tc>
      </w:tr>
      <w:tr>
        <w:tblPrEx>
          <w:tblLayout w:type="fixed"/>
          <w:tblCellMar>
            <w:top w:w="0" w:type="dxa"/>
            <w:left w:w="108" w:type="dxa"/>
            <w:bottom w:w="0" w:type="dxa"/>
            <w:right w:w="108" w:type="dxa"/>
          </w:tblCellMar>
        </w:tblPrEx>
        <w:trPr>
          <w:trHeight w:val="135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商服繁华程度</w:t>
            </w:r>
          </w:p>
        </w:tc>
        <w:tc>
          <w:tcPr>
            <w:tcW w:w="153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距商服中心近、在农贸市场、大型宾馆区范围内，人流畅旺</w:t>
            </w:r>
          </w:p>
        </w:tc>
        <w:tc>
          <w:tcPr>
            <w:tcW w:w="15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距商服中心较近、离集贸市场、宾馆区较近，人流较畅旺</w:t>
            </w:r>
          </w:p>
        </w:tc>
        <w:tc>
          <w:tcPr>
            <w:tcW w:w="15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距商服中心有一定距离，与集贸市场、宾馆距离一般、人流量一般</w:t>
            </w:r>
          </w:p>
        </w:tc>
        <w:tc>
          <w:tcPr>
            <w:tcW w:w="15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距商服中心较远，所在地区商业气氛平淡，人流较少</w:t>
            </w:r>
          </w:p>
        </w:tc>
        <w:tc>
          <w:tcPr>
            <w:tcW w:w="152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距商服中心远，独立、小型、零星的商业用地</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53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2.0384%</w:t>
            </w:r>
          </w:p>
        </w:tc>
        <w:tc>
          <w:tcPr>
            <w:tcW w:w="15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1.0192%</w:t>
            </w:r>
          </w:p>
        </w:tc>
        <w:tc>
          <w:tcPr>
            <w:tcW w:w="15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-1.0192%</w:t>
            </w:r>
          </w:p>
        </w:tc>
        <w:tc>
          <w:tcPr>
            <w:tcW w:w="152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-2.0384%</w:t>
            </w:r>
          </w:p>
        </w:tc>
      </w:tr>
      <w:tr>
        <w:tblPrEx>
          <w:tblLayout w:type="fixed"/>
          <w:tblCellMar>
            <w:top w:w="0" w:type="dxa"/>
            <w:left w:w="108" w:type="dxa"/>
            <w:bottom w:w="0" w:type="dxa"/>
            <w:right w:w="108" w:type="dxa"/>
          </w:tblCellMar>
        </w:tblPrEx>
        <w:trPr>
          <w:trHeight w:val="27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人口状况</w:t>
            </w:r>
          </w:p>
        </w:tc>
        <w:tc>
          <w:tcPr>
            <w:tcW w:w="153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人口密度高</w:t>
            </w:r>
          </w:p>
        </w:tc>
        <w:tc>
          <w:tcPr>
            <w:tcW w:w="15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人口密度较高</w:t>
            </w:r>
          </w:p>
        </w:tc>
        <w:tc>
          <w:tcPr>
            <w:tcW w:w="15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人口密度一般</w:t>
            </w:r>
          </w:p>
        </w:tc>
        <w:tc>
          <w:tcPr>
            <w:tcW w:w="15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人口密度较低</w:t>
            </w:r>
          </w:p>
        </w:tc>
        <w:tc>
          <w:tcPr>
            <w:tcW w:w="152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人口密度低</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53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1.5130%</w:t>
            </w:r>
          </w:p>
        </w:tc>
        <w:tc>
          <w:tcPr>
            <w:tcW w:w="15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0.7565%</w:t>
            </w:r>
          </w:p>
        </w:tc>
        <w:tc>
          <w:tcPr>
            <w:tcW w:w="15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-0.7565%</w:t>
            </w:r>
          </w:p>
        </w:tc>
        <w:tc>
          <w:tcPr>
            <w:tcW w:w="152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-1.5130%</w:t>
            </w:r>
          </w:p>
        </w:tc>
      </w:tr>
      <w:tr>
        <w:tblPrEx>
          <w:tblLayout w:type="fixed"/>
          <w:tblCellMar>
            <w:top w:w="0" w:type="dxa"/>
            <w:left w:w="108" w:type="dxa"/>
            <w:bottom w:w="0" w:type="dxa"/>
            <w:right w:w="108" w:type="dxa"/>
          </w:tblCellMar>
        </w:tblPrEx>
        <w:trPr>
          <w:trHeight w:val="27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城镇规划</w:t>
            </w:r>
          </w:p>
        </w:tc>
        <w:tc>
          <w:tcPr>
            <w:tcW w:w="153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规划前景好</w:t>
            </w:r>
          </w:p>
        </w:tc>
        <w:tc>
          <w:tcPr>
            <w:tcW w:w="15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规划前景较好</w:t>
            </w:r>
          </w:p>
        </w:tc>
        <w:tc>
          <w:tcPr>
            <w:tcW w:w="15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规划前景一般</w:t>
            </w:r>
          </w:p>
        </w:tc>
        <w:tc>
          <w:tcPr>
            <w:tcW w:w="15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规划前景较差</w:t>
            </w:r>
          </w:p>
        </w:tc>
        <w:tc>
          <w:tcPr>
            <w:tcW w:w="152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规划前景差</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53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1.1822%</w:t>
            </w:r>
          </w:p>
        </w:tc>
        <w:tc>
          <w:tcPr>
            <w:tcW w:w="15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0.5911%</w:t>
            </w:r>
          </w:p>
        </w:tc>
        <w:tc>
          <w:tcPr>
            <w:tcW w:w="15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-0.5911%</w:t>
            </w:r>
          </w:p>
        </w:tc>
        <w:tc>
          <w:tcPr>
            <w:tcW w:w="152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-1.1822%</w:t>
            </w:r>
          </w:p>
        </w:tc>
      </w:tr>
    </w:tbl>
    <w:p>
      <w:pPr>
        <w:numPr>
          <w:ilvl w:val="0"/>
          <w:numId w:val="8"/>
        </w:numPr>
        <w:tabs>
          <w:tab w:val="left" w:pos="0"/>
        </w:tabs>
        <w:spacing w:before="72" w:after="72"/>
        <w:ind w:firstLineChars="0"/>
        <w:rPr>
          <w:rFonts w:ascii="仿宋_GB2312" w:hAnsi="仿宋_GB2312" w:eastAsia="仿宋_GB2312" w:cs="仿宋_GB2312"/>
          <w:sz w:val="32"/>
          <w:szCs w:val="32"/>
          <w:lang w:val="zh-CN"/>
        </w:rPr>
      </w:pPr>
      <w:bookmarkStart w:id="112" w:name="_Toc5062035"/>
      <w:r>
        <w:rPr>
          <w:rFonts w:hint="eastAsia" w:ascii="仿宋_GB2312" w:hAnsi="仿宋_GB2312" w:eastAsia="仿宋_GB2312" w:cs="仿宋_GB2312"/>
          <w:sz w:val="32"/>
          <w:szCs w:val="32"/>
          <w:lang w:val="zh-CN"/>
        </w:rPr>
        <w:t>容积率修正系数</w:t>
      </w:r>
      <w:bookmarkEnd w:id="112"/>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参照城区住宅用地容积率修正系数。</w:t>
      </w:r>
    </w:p>
    <w:p>
      <w:pPr>
        <w:numPr>
          <w:ilvl w:val="0"/>
          <w:numId w:val="8"/>
        </w:numPr>
        <w:tabs>
          <w:tab w:val="left" w:pos="0"/>
        </w:tabs>
        <w:spacing w:before="72" w:after="72"/>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楼层修正系数</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参照城区住宅用地楼层修正系数。</w:t>
      </w:r>
    </w:p>
    <w:p>
      <w:pPr>
        <w:numPr>
          <w:ilvl w:val="0"/>
          <w:numId w:val="8"/>
        </w:numPr>
        <w:tabs>
          <w:tab w:val="left" w:pos="0"/>
        </w:tabs>
        <w:spacing w:before="72" w:after="72"/>
        <w:ind w:firstLineChars="0"/>
        <w:rPr>
          <w:rFonts w:ascii="仿宋_GB2312" w:hAnsi="仿宋_GB2312" w:eastAsia="仿宋_GB2312" w:cs="仿宋_GB2312"/>
          <w:sz w:val="32"/>
          <w:szCs w:val="32"/>
          <w:lang w:val="zh-CN"/>
        </w:rPr>
      </w:pPr>
      <w:bookmarkStart w:id="113" w:name="_Toc5062036"/>
      <w:r>
        <w:rPr>
          <w:rFonts w:hint="eastAsia" w:ascii="仿宋_GB2312" w:hAnsi="仿宋_GB2312" w:eastAsia="仿宋_GB2312" w:cs="仿宋_GB2312"/>
          <w:sz w:val="32"/>
          <w:szCs w:val="32"/>
          <w:lang w:val="zh-CN"/>
        </w:rPr>
        <w:t>其他个别因素修正系数</w:t>
      </w:r>
      <w:bookmarkEnd w:id="113"/>
    </w:p>
    <w:p>
      <w:pPr>
        <w:adjustRightInd w:val="0"/>
        <w:spacing w:line="600" w:lineRule="exact"/>
        <w:ind w:firstLine="620"/>
        <w:rPr>
          <w:rFonts w:ascii="仿宋_GB2312" w:hAnsi="仿宋_GB2312" w:eastAsia="仿宋_GB2312" w:cs="仿宋_GB2312"/>
          <w:spacing w:val="-5"/>
          <w:kern w:val="0"/>
          <w:sz w:val="32"/>
          <w:szCs w:val="32"/>
        </w:rPr>
      </w:pPr>
      <w:bookmarkStart w:id="114" w:name="_Toc5062037"/>
      <w:r>
        <w:rPr>
          <w:rFonts w:hint="eastAsia" w:ascii="仿宋_GB2312" w:hAnsi="仿宋_GB2312" w:eastAsia="仿宋_GB2312" w:cs="仿宋_GB2312"/>
          <w:spacing w:val="-5"/>
          <w:kern w:val="0"/>
          <w:sz w:val="32"/>
          <w:szCs w:val="32"/>
        </w:rPr>
        <w:t>参照城区住宅用地其他个别因素修正系数。</w:t>
      </w:r>
    </w:p>
    <w:p>
      <w:pPr>
        <w:numPr>
          <w:ilvl w:val="0"/>
          <w:numId w:val="8"/>
        </w:numPr>
        <w:tabs>
          <w:tab w:val="left" w:pos="0"/>
        </w:tabs>
        <w:spacing w:before="72" w:after="72"/>
        <w:ind w:firstLineChars="0"/>
        <w:rPr>
          <w:rFonts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土地剩余使用年期修正系数</w:t>
      </w:r>
      <w:bookmarkEnd w:id="114"/>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lang w:val="zh-CN"/>
        </w:rPr>
        <w:t>土地剩余使用年期修正公式为：</w:t>
      </w:r>
    </w:p>
    <w:p>
      <w:pPr>
        <w:spacing w:line="240" w:lineRule="auto"/>
        <w:ind w:firstLine="0" w:firstLineChars="0"/>
        <w:jc w:val="center"/>
        <w:rPr>
          <w:rFonts w:cs="仿宋"/>
          <w:sz w:val="24"/>
          <w:szCs w:val="22"/>
        </w:rPr>
      </w:pPr>
      <w:r>
        <w:rPr>
          <w:rFonts w:hint="eastAsia" w:cs="仿宋"/>
          <w:position w:val="-36"/>
          <w:sz w:val="24"/>
          <w:szCs w:val="22"/>
        </w:rPr>
        <w:object>
          <v:shape id="_x0000_i1055" o:spt="75" type="#_x0000_t75" style="height:41.9pt;width:165.5pt;" o:ole="t" filled="f" o:preferrelative="t" stroked="f" coordsize="21600,21600">
            <v:path/>
            <v:fill on="f" focussize="0,0"/>
            <v:stroke on="f" joinstyle="miter"/>
            <v:imagedata r:id="rId75" o:title=""/>
            <o:lock v:ext="edit" aspectratio="t"/>
            <w10:wrap type="none"/>
            <w10:anchorlock/>
          </v:shape>
          <o:OLEObject Type="Embed" ProgID="Equation.3" ShapeID="_x0000_i1055" DrawAspect="Content" ObjectID="_1468075755" r:id="rId74">
            <o:LockedField>false</o:LockedField>
          </o:OLEObject>
        </w:object>
      </w:r>
    </w:p>
    <w:p>
      <w:pPr>
        <w:rPr>
          <w:rFonts w:ascii="仿宋_GB2312" w:hAnsi="仿宋_GB2312" w:eastAsia="仿宋_GB2312" w:cs="仿宋_GB2312"/>
          <w:sz w:val="24"/>
        </w:rPr>
      </w:pPr>
      <w:r>
        <w:rPr>
          <w:rFonts w:hint="eastAsia" w:ascii="仿宋_GB2312" w:hAnsi="仿宋_GB2312" w:eastAsia="仿宋_GB2312" w:cs="仿宋_GB2312"/>
          <w:sz w:val="24"/>
        </w:rPr>
        <w:t>式中：</w:t>
      </w:r>
      <w:r>
        <w:rPr>
          <w:rFonts w:hint="eastAsia" w:ascii="仿宋_GB2312" w:hAnsi="仿宋_GB2312" w:eastAsia="仿宋_GB2312" w:cs="仿宋_GB2312"/>
          <w:position w:val="-4"/>
          <w:sz w:val="24"/>
        </w:rPr>
        <w:object>
          <v:shape id="_x0000_i1056" o:spt="75" type="#_x0000_t75" style="height:9.65pt;width:8.6pt;" o:ole="t" filled="f" o:preferrelative="t" stroked="f" coordsize="21600,21600">
            <v:path/>
            <v:fill on="f" focussize="0,0"/>
            <v:stroke on="f" joinstyle="miter"/>
            <v:imagedata r:id="rId77" o:title=""/>
            <o:lock v:ext="edit" aspectratio="t"/>
            <w10:wrap type="none"/>
            <w10:anchorlock/>
          </v:shape>
          <o:OLEObject Type="Embed" ProgID="Equation.3" ShapeID="_x0000_i1056" DrawAspect="Content" ObjectID="_1468075756" r:id="rId76">
            <o:LockedField>false</o:LockedField>
          </o:OLEObject>
        </w:object>
      </w:r>
      <w:r>
        <w:rPr>
          <w:rFonts w:hint="eastAsia" w:ascii="仿宋_GB2312" w:hAnsi="仿宋_GB2312" w:eastAsia="仿宋_GB2312" w:cs="仿宋_GB2312"/>
          <w:sz w:val="24"/>
        </w:rPr>
        <w:t>——土地还原率；</w:t>
      </w:r>
      <w:r>
        <w:rPr>
          <w:rFonts w:hint="eastAsia" w:ascii="仿宋_GB2312" w:hAnsi="仿宋_GB2312" w:eastAsia="仿宋_GB2312" w:cs="仿宋_GB2312"/>
          <w:position w:val="-6"/>
          <w:sz w:val="24"/>
        </w:rPr>
        <w:object>
          <v:shape id="_x0000_i1057" o:spt="75" type="#_x0000_t75" style="height:10.75pt;width:12.9pt;" o:ole="t" filled="f" o:preferrelative="t" stroked="f" coordsize="21600,21600">
            <v:path/>
            <v:fill on="f" focussize="0,0"/>
            <v:stroke on="f" joinstyle="miter"/>
            <v:imagedata r:id="rId79" o:title=""/>
            <o:lock v:ext="edit" aspectratio="t"/>
            <w10:wrap type="none"/>
            <w10:anchorlock/>
          </v:shape>
          <o:OLEObject Type="Embed" ProgID="Equation.3" ShapeID="_x0000_i1057" DrawAspect="Content" ObjectID="_1468075757" r:id="rId78">
            <o:LockedField>false</o:LockedField>
          </o:OLEObject>
        </w:object>
      </w:r>
      <w:r>
        <w:rPr>
          <w:rFonts w:hint="eastAsia" w:ascii="仿宋_GB2312" w:hAnsi="仿宋_GB2312" w:eastAsia="仿宋_GB2312" w:cs="仿宋_GB2312"/>
          <w:sz w:val="24"/>
        </w:rPr>
        <w:t>——土地使用权法定最高出让年限70年；</w:t>
      </w:r>
    </w:p>
    <w:p>
      <w:pPr>
        <w:ind w:firstLine="1200" w:firstLineChars="500"/>
        <w:rPr>
          <w:rFonts w:ascii="仿宋_GB2312" w:hAnsi="仿宋_GB2312" w:eastAsia="仿宋_GB2312" w:cs="仿宋_GB2312"/>
          <w:sz w:val="24"/>
        </w:rPr>
      </w:pPr>
      <w:r>
        <w:rPr>
          <w:rFonts w:hint="eastAsia" w:ascii="仿宋_GB2312" w:hAnsi="仿宋_GB2312" w:eastAsia="仿宋_GB2312" w:cs="仿宋_GB2312"/>
          <w:position w:val="-6"/>
          <w:sz w:val="24"/>
        </w:rPr>
        <w:object>
          <v:shape id="_x0000_i1058" o:spt="75" type="#_x0000_t75" style="height:10.75pt;width:9.65pt;" o:ole="t" filled="f" o:preferrelative="t" stroked="f" coordsize="21600,21600">
            <v:path/>
            <v:fill on="f" focussize="0,0"/>
            <v:stroke on="f" joinstyle="miter"/>
            <v:imagedata r:id="rId81" o:title=""/>
            <o:lock v:ext="edit" aspectratio="t"/>
            <w10:wrap type="none"/>
            <w10:anchorlock/>
          </v:shape>
          <o:OLEObject Type="Embed" ProgID="Equation.3" ShapeID="_x0000_i1058" DrawAspect="Content" ObjectID="_1468075758" r:id="rId80">
            <o:LockedField>false</o:LockedField>
          </o:OLEObject>
        </w:object>
      </w:r>
      <w:r>
        <w:rPr>
          <w:rFonts w:hint="eastAsia" w:ascii="仿宋_GB2312" w:hAnsi="仿宋_GB2312" w:eastAsia="仿宋_GB2312" w:cs="仿宋_GB2312"/>
          <w:sz w:val="24"/>
        </w:rPr>
        <w:t>——土地剩余使用年期；</w:t>
      </w:r>
      <w:r>
        <w:rPr>
          <w:rFonts w:hint="eastAsia" w:ascii="仿宋_GB2312" w:hAnsi="仿宋_GB2312" w:eastAsia="仿宋_GB2312" w:cs="仿宋_GB2312"/>
          <w:position w:val="-4"/>
          <w:sz w:val="24"/>
        </w:rPr>
        <w:object>
          <v:shape id="_x0000_i1059" o:spt="75" type="#_x0000_t75" style="height:12.9pt;width:10.75pt;" o:ole="t" filled="f" o:preferrelative="t" stroked="f" coordsize="21600,21600">
            <v:path/>
            <v:fill on="f" focussize="0,0"/>
            <v:stroke on="f" joinstyle="miter"/>
            <v:imagedata r:id="rId83" o:title=""/>
            <o:lock v:ext="edit" aspectratio="t"/>
            <w10:wrap type="none"/>
            <w10:anchorlock/>
          </v:shape>
          <o:OLEObject Type="Embed" ProgID="Equation.3" ShapeID="_x0000_i1059" DrawAspect="Content" ObjectID="_1468075759" r:id="rId82">
            <o:LockedField>false</o:LockedField>
          </o:OLEObject>
        </w:object>
      </w:r>
      <w:r>
        <w:rPr>
          <w:rFonts w:hint="eastAsia" w:ascii="仿宋_GB2312" w:hAnsi="仿宋_GB2312" w:eastAsia="仿宋_GB2312" w:cs="仿宋_GB2312"/>
          <w:sz w:val="24"/>
        </w:rPr>
        <w:t>——土地剩余使用年期修正系数。</w:t>
      </w: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乡镇住宅用地剩余使用年期修正系数表（土地还原率为4.7%）</w:t>
      </w:r>
    </w:p>
    <w:tbl>
      <w:tblPr>
        <w:tblStyle w:val="47"/>
        <w:tblW w:w="927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6"/>
        <w:gridCol w:w="806"/>
        <w:gridCol w:w="806"/>
        <w:gridCol w:w="806"/>
        <w:gridCol w:w="806"/>
        <w:gridCol w:w="806"/>
        <w:gridCol w:w="806"/>
        <w:gridCol w:w="806"/>
        <w:gridCol w:w="806"/>
        <w:gridCol w:w="806"/>
        <w:gridCol w:w="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1216" w:type="dxa"/>
            <w:tcBorders>
              <w:top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bookmarkStart w:id="115" w:name="_Toc5062038"/>
            <w:r>
              <w:rPr>
                <w:rFonts w:hint="eastAsia" w:ascii="仿宋_GB2312" w:hAnsi="仿宋_GB2312" w:eastAsia="仿宋_GB2312" w:cs="仿宋_GB2312"/>
                <w:kern w:val="0"/>
                <w:sz w:val="24"/>
              </w:rPr>
              <w:t>剩余年期</w:t>
            </w:r>
          </w:p>
        </w:tc>
        <w:tc>
          <w:tcPr>
            <w:tcW w:w="806" w:type="dxa"/>
            <w:tcBorders>
              <w:top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w:t>
            </w:r>
          </w:p>
        </w:tc>
        <w:tc>
          <w:tcPr>
            <w:tcW w:w="806" w:type="dxa"/>
            <w:tcBorders>
              <w:top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w:t>
            </w:r>
          </w:p>
        </w:tc>
        <w:tc>
          <w:tcPr>
            <w:tcW w:w="806" w:type="dxa"/>
            <w:tcBorders>
              <w:top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w:t>
            </w:r>
          </w:p>
        </w:tc>
        <w:tc>
          <w:tcPr>
            <w:tcW w:w="806" w:type="dxa"/>
            <w:tcBorders>
              <w:top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w:t>
            </w:r>
          </w:p>
        </w:tc>
        <w:tc>
          <w:tcPr>
            <w:tcW w:w="806" w:type="dxa"/>
            <w:tcBorders>
              <w:top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5</w:t>
            </w:r>
          </w:p>
        </w:tc>
        <w:tc>
          <w:tcPr>
            <w:tcW w:w="806" w:type="dxa"/>
            <w:tcBorders>
              <w:top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6</w:t>
            </w:r>
          </w:p>
        </w:tc>
        <w:tc>
          <w:tcPr>
            <w:tcW w:w="806" w:type="dxa"/>
            <w:tcBorders>
              <w:top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7</w:t>
            </w:r>
          </w:p>
        </w:tc>
        <w:tc>
          <w:tcPr>
            <w:tcW w:w="806" w:type="dxa"/>
            <w:tcBorders>
              <w:top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8</w:t>
            </w:r>
          </w:p>
        </w:tc>
        <w:tc>
          <w:tcPr>
            <w:tcW w:w="806" w:type="dxa"/>
            <w:tcBorders>
              <w:top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9</w:t>
            </w:r>
          </w:p>
        </w:tc>
        <w:tc>
          <w:tcPr>
            <w:tcW w:w="808" w:type="dxa"/>
            <w:tcBorders>
              <w:top w:val="single" w:color="auto" w:sz="4" w:space="0"/>
            </w:tcBorders>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1216" w:type="dxa"/>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0.0468</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0.0914</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0.1341</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0.1748</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0.2138</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0.2509</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0.2864</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0.3204</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0.3527</w:t>
            </w:r>
          </w:p>
        </w:tc>
        <w:tc>
          <w:tcPr>
            <w:tcW w:w="8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0.3837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1216" w:type="dxa"/>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剩余年期</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11</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12</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13</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14</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15</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16</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17</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18</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19</w:t>
            </w:r>
          </w:p>
        </w:tc>
        <w:tc>
          <w:tcPr>
            <w:tcW w:w="8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1216" w:type="dxa"/>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0.4132</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0.4414</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0.4684</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0.4941</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0.5187</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0.5422</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0.5646</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0.5861</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0.6065</w:t>
            </w:r>
          </w:p>
        </w:tc>
        <w:tc>
          <w:tcPr>
            <w:tcW w:w="8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0.6261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1216" w:type="dxa"/>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剩余年期</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21</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22</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23</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24</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25</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26</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27</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28</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29</w:t>
            </w:r>
          </w:p>
        </w:tc>
        <w:tc>
          <w:tcPr>
            <w:tcW w:w="8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1216" w:type="dxa"/>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0.6447</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0.6625</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0.6796</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0.6958</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0.7114</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0.7262</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0.7404</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0.7539</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0.7668</w:t>
            </w:r>
          </w:p>
        </w:tc>
        <w:tc>
          <w:tcPr>
            <w:tcW w:w="8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0.7792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1216" w:type="dxa"/>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剩余年期</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31</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32</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33</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34</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35</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36</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37</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38</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39</w:t>
            </w:r>
          </w:p>
        </w:tc>
        <w:tc>
          <w:tcPr>
            <w:tcW w:w="8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1216" w:type="dxa"/>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0.791</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0.8022</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0.813</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0.8233</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0.8331</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0.8424</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0.8514</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0.8599</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0.8681</w:t>
            </w:r>
          </w:p>
        </w:tc>
        <w:tc>
          <w:tcPr>
            <w:tcW w:w="8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0.8759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1216" w:type="dxa"/>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剩余年期</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41</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42</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43</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44</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45</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46</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47</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48</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49</w:t>
            </w:r>
          </w:p>
        </w:tc>
        <w:tc>
          <w:tcPr>
            <w:tcW w:w="8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1216" w:type="dxa"/>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0.8834</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0.8905</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0.8973</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0.9037</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0.9099</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0.9159</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0.9215</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0.9269</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0.9321</w:t>
            </w:r>
          </w:p>
        </w:tc>
        <w:tc>
          <w:tcPr>
            <w:tcW w:w="8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1216" w:type="dxa"/>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剩余年期</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51</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52</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53</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54</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55</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56</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57</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58</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59</w:t>
            </w:r>
          </w:p>
        </w:tc>
        <w:tc>
          <w:tcPr>
            <w:tcW w:w="8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1216" w:type="dxa"/>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0.9417</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0.9462</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0.9505</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0.9546</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0.9585</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0.9623</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0.9658</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0.9692</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0.9725</w:t>
            </w:r>
          </w:p>
        </w:tc>
        <w:tc>
          <w:tcPr>
            <w:tcW w:w="8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0.9756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1216" w:type="dxa"/>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剩余年期</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61</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62</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63</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64</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65</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66</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67</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68</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69</w:t>
            </w:r>
          </w:p>
        </w:tc>
        <w:tc>
          <w:tcPr>
            <w:tcW w:w="8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1216" w:type="dxa"/>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0.9786</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0.9814</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0.9841</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0.9867</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0.9892</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0.9916</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0.9938</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0.996</w:t>
            </w:r>
          </w:p>
        </w:tc>
        <w:tc>
          <w:tcPr>
            <w:tcW w:w="806"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0.998</w:t>
            </w:r>
          </w:p>
        </w:tc>
        <w:tc>
          <w:tcPr>
            <w:tcW w:w="808" w:type="dxa"/>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w:t>
            </w:r>
          </w:p>
        </w:tc>
      </w:tr>
    </w:tbl>
    <w:p>
      <w:pPr>
        <w:numPr>
          <w:ilvl w:val="0"/>
          <w:numId w:val="8"/>
        </w:numPr>
        <w:tabs>
          <w:tab w:val="left" w:pos="0"/>
        </w:tabs>
        <w:spacing w:before="72" w:after="72"/>
        <w:ind w:firstLineChars="0"/>
        <w:rPr>
          <w:rFonts w:ascii="仿宋_GB2312" w:hAnsi="仿宋_GB2312" w:eastAsia="仿宋_GB2312" w:cs="仿宋_GB2312"/>
          <w:sz w:val="32"/>
          <w:szCs w:val="32"/>
          <w:lang w:val="zh-CN"/>
        </w:rPr>
      </w:pPr>
      <w:r>
        <w:rPr>
          <w:rFonts w:hint="eastAsia" w:ascii="仿宋_GB2312" w:hAnsi="仿宋_GB2312" w:eastAsia="仿宋_GB2312" w:cs="仿宋_GB2312"/>
          <w:sz w:val="32"/>
          <w:szCs w:val="32"/>
        </w:rPr>
        <w:t>其它因素修正</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参照城区住宅用地其它因素修正系数。</w:t>
      </w:r>
    </w:p>
    <w:p>
      <w:pPr>
        <w:numPr>
          <w:ilvl w:val="0"/>
          <w:numId w:val="8"/>
        </w:numPr>
        <w:tabs>
          <w:tab w:val="left" w:pos="0"/>
        </w:tabs>
        <w:spacing w:before="72" w:after="72"/>
        <w:ind w:firstLineChars="0"/>
        <w:rPr>
          <w:rFonts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土地开发程度修正（同</w:t>
      </w:r>
      <w:r>
        <w:rPr>
          <w:rFonts w:hint="eastAsia" w:ascii="仿宋_GB2312" w:hAnsi="仿宋_GB2312" w:eastAsia="仿宋_GB2312" w:cs="仿宋_GB2312"/>
          <w:sz w:val="32"/>
          <w:szCs w:val="32"/>
        </w:rPr>
        <w:t>乡镇</w:t>
      </w:r>
      <w:r>
        <w:rPr>
          <w:rFonts w:hint="eastAsia" w:ascii="仿宋_GB2312" w:hAnsi="仿宋_GB2312" w:eastAsia="仿宋_GB2312" w:cs="仿宋_GB2312"/>
          <w:sz w:val="32"/>
          <w:szCs w:val="32"/>
          <w:lang w:val="zh-CN"/>
        </w:rPr>
        <w:t>商服用地）</w:t>
      </w:r>
      <w:bookmarkEnd w:id="115"/>
    </w:p>
    <w:p>
      <w:pPr>
        <w:adjustRightInd w:val="0"/>
        <w:spacing w:line="580" w:lineRule="exact"/>
        <w:ind w:firstLine="640"/>
        <w:rPr>
          <w:rFonts w:ascii="楷体_GB2312" w:hAnsi="楷体_GB2312" w:eastAsia="楷体_GB2312" w:cs="楷体_GB2312"/>
          <w:snapToGrid w:val="0"/>
          <w:color w:val="000000"/>
          <w:kern w:val="0"/>
          <w:sz w:val="32"/>
          <w:szCs w:val="32"/>
        </w:rPr>
      </w:pPr>
      <w:bookmarkStart w:id="116" w:name="_Toc23408"/>
      <w:r>
        <w:rPr>
          <w:rFonts w:hint="eastAsia" w:ascii="楷体_GB2312" w:hAnsi="楷体_GB2312" w:eastAsia="楷体_GB2312" w:cs="楷体_GB2312"/>
          <w:snapToGrid w:val="0"/>
          <w:color w:val="000000"/>
          <w:kern w:val="0"/>
          <w:sz w:val="32"/>
          <w:szCs w:val="32"/>
        </w:rPr>
        <w:t>（八）乡镇工业用地宗地地价修正体系编制</w:t>
      </w:r>
      <w:bookmarkEnd w:id="116"/>
    </w:p>
    <w:p>
      <w:pPr>
        <w:numPr>
          <w:ilvl w:val="0"/>
          <w:numId w:val="9"/>
        </w:numPr>
        <w:tabs>
          <w:tab w:val="left" w:pos="0"/>
        </w:tabs>
        <w:spacing w:before="72" w:after="72"/>
        <w:ind w:firstLineChars="0"/>
        <w:rPr>
          <w:rFonts w:ascii="仿宋_GB2312" w:hAnsi="仿宋_GB2312" w:eastAsia="仿宋_GB2312" w:cs="仿宋_GB2312"/>
          <w:sz w:val="32"/>
          <w:szCs w:val="32"/>
          <w:lang w:val="zh-CN"/>
        </w:rPr>
      </w:pPr>
      <w:bookmarkStart w:id="117" w:name="_Toc5062041"/>
      <w:r>
        <w:rPr>
          <w:rFonts w:hint="eastAsia" w:ascii="仿宋_GB2312" w:hAnsi="仿宋_GB2312" w:eastAsia="仿宋_GB2312" w:cs="仿宋_GB2312"/>
          <w:sz w:val="32"/>
          <w:szCs w:val="32"/>
          <w:lang w:val="zh-CN"/>
        </w:rPr>
        <w:t>区域因素修正系数</w:t>
      </w:r>
      <w:bookmarkEnd w:id="117"/>
    </w:p>
    <w:p>
      <w:pPr>
        <w:numPr>
          <w:ilvl w:val="0"/>
          <w:numId w:val="1"/>
        </w:numPr>
        <w:tabs>
          <w:tab w:val="left" w:pos="0"/>
        </w:tabs>
        <w:ind w:firstLineChars="0"/>
        <w:jc w:val="center"/>
        <w:rPr>
          <w:rFonts w:ascii="仿宋_GB2312" w:hAnsi="仿宋_GB2312" w:eastAsia="仿宋_GB2312" w:cs="仿宋_GB2312"/>
          <w:sz w:val="32"/>
          <w:szCs w:val="32"/>
          <w:lang w:val="zh-CN"/>
        </w:rPr>
      </w:pPr>
      <w:r>
        <w:rPr>
          <w:rFonts w:hint="eastAsia" w:ascii="仿宋_GB2312" w:hAnsi="仿宋_GB2312" w:eastAsia="仿宋_GB2312" w:cs="仿宋_GB2312"/>
          <w:sz w:val="32"/>
          <w:szCs w:val="32"/>
        </w:rPr>
        <w:t>乡镇工业用地区域因素修正系数表</w:t>
      </w:r>
    </w:p>
    <w:tbl>
      <w:tblPr>
        <w:tblStyle w:val="47"/>
        <w:tblW w:w="9286" w:type="dxa"/>
        <w:jc w:val="center"/>
        <w:tblInd w:w="0" w:type="dxa"/>
        <w:tblLayout w:type="fixed"/>
        <w:tblCellMar>
          <w:top w:w="0" w:type="dxa"/>
          <w:left w:w="108" w:type="dxa"/>
          <w:bottom w:w="0" w:type="dxa"/>
          <w:right w:w="108" w:type="dxa"/>
        </w:tblCellMar>
      </w:tblPr>
      <w:tblGrid>
        <w:gridCol w:w="1662"/>
        <w:gridCol w:w="1523"/>
        <w:gridCol w:w="1523"/>
        <w:gridCol w:w="1523"/>
        <w:gridCol w:w="1524"/>
        <w:gridCol w:w="1531"/>
      </w:tblGrid>
      <w:tr>
        <w:tblPrEx>
          <w:tblLayout w:type="fixed"/>
          <w:tblCellMar>
            <w:top w:w="0" w:type="dxa"/>
            <w:left w:w="108" w:type="dxa"/>
            <w:bottom w:w="0" w:type="dxa"/>
            <w:right w:w="108" w:type="dxa"/>
          </w:tblCellMar>
        </w:tblPrEx>
        <w:trPr>
          <w:trHeight w:val="285" w:hRule="atLeast"/>
          <w:tblHeader/>
          <w:jc w:val="center"/>
        </w:trPr>
        <w:tc>
          <w:tcPr>
            <w:tcW w:w="1662"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因素/优劣度</w:t>
            </w:r>
          </w:p>
        </w:tc>
        <w:tc>
          <w:tcPr>
            <w:tcW w:w="152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优</w:t>
            </w:r>
          </w:p>
        </w:tc>
        <w:tc>
          <w:tcPr>
            <w:tcW w:w="152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较优</w:t>
            </w:r>
          </w:p>
        </w:tc>
        <w:tc>
          <w:tcPr>
            <w:tcW w:w="152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一般</w:t>
            </w:r>
          </w:p>
        </w:tc>
        <w:tc>
          <w:tcPr>
            <w:tcW w:w="1524"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较劣</w:t>
            </w:r>
          </w:p>
        </w:tc>
        <w:tc>
          <w:tcPr>
            <w:tcW w:w="1531"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劣</w:t>
            </w:r>
          </w:p>
        </w:tc>
      </w:tr>
      <w:tr>
        <w:tblPrEx>
          <w:tblLayout w:type="fixed"/>
          <w:tblCellMar>
            <w:top w:w="0" w:type="dxa"/>
            <w:left w:w="108" w:type="dxa"/>
            <w:bottom w:w="0" w:type="dxa"/>
            <w:right w:w="108" w:type="dxa"/>
          </w:tblCellMar>
        </w:tblPrEx>
        <w:trPr>
          <w:trHeight w:val="108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交通条件</w:t>
            </w:r>
          </w:p>
        </w:tc>
        <w:tc>
          <w:tcPr>
            <w:tcW w:w="152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道路通达度高，距汽车站、货运站、高速公路出入口近，对外交通便利</w:t>
            </w:r>
          </w:p>
        </w:tc>
        <w:tc>
          <w:tcPr>
            <w:tcW w:w="152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道路通达度较高，距汽车站、货运站、高速公路出入口较近，对外交通较便利</w:t>
            </w:r>
          </w:p>
        </w:tc>
        <w:tc>
          <w:tcPr>
            <w:tcW w:w="152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道路通达度一般，距汽车站、货运站、高速公路出入口一般，对外交通一般</w:t>
            </w:r>
          </w:p>
        </w:tc>
        <w:tc>
          <w:tcPr>
            <w:tcW w:w="1524"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道路通达度较低，距汽车站、货运站、高速公路出入口较远，对外交通较差</w:t>
            </w:r>
          </w:p>
        </w:tc>
        <w:tc>
          <w:tcPr>
            <w:tcW w:w="1531"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道路通达度低，距汽车站、货运站、高速公路出入口远，对外交通差</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52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5.8327%</w:t>
            </w:r>
          </w:p>
        </w:tc>
        <w:tc>
          <w:tcPr>
            <w:tcW w:w="152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2.9163%</w:t>
            </w:r>
          </w:p>
        </w:tc>
        <w:tc>
          <w:tcPr>
            <w:tcW w:w="152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-2.9163%</w:t>
            </w:r>
          </w:p>
        </w:tc>
        <w:tc>
          <w:tcPr>
            <w:tcW w:w="1531"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-5.8327%</w:t>
            </w:r>
          </w:p>
        </w:tc>
      </w:tr>
      <w:tr>
        <w:tblPrEx>
          <w:tblLayout w:type="fixed"/>
          <w:tblCellMar>
            <w:top w:w="0" w:type="dxa"/>
            <w:left w:w="108" w:type="dxa"/>
            <w:bottom w:w="0" w:type="dxa"/>
            <w:right w:w="108" w:type="dxa"/>
          </w:tblCellMar>
        </w:tblPrEx>
        <w:trPr>
          <w:trHeight w:val="108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基本设施状况</w:t>
            </w:r>
          </w:p>
        </w:tc>
        <w:tc>
          <w:tcPr>
            <w:tcW w:w="152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市政供水，供电保证率高，排水状况好</w:t>
            </w:r>
          </w:p>
        </w:tc>
        <w:tc>
          <w:tcPr>
            <w:tcW w:w="152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市政供水，供电保证率较高，排水状况较好</w:t>
            </w:r>
          </w:p>
        </w:tc>
        <w:tc>
          <w:tcPr>
            <w:tcW w:w="152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市政供水，供电保证率一般，排水状况一般</w:t>
            </w:r>
          </w:p>
        </w:tc>
        <w:tc>
          <w:tcPr>
            <w:tcW w:w="1524"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市政供水，供电保证率较低，排水状况较差</w:t>
            </w:r>
          </w:p>
        </w:tc>
        <w:tc>
          <w:tcPr>
            <w:tcW w:w="1531"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市政供水，供电保证率低，排水状况差</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52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6.1538%</w:t>
            </w:r>
          </w:p>
        </w:tc>
        <w:tc>
          <w:tcPr>
            <w:tcW w:w="152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3.0769%</w:t>
            </w:r>
          </w:p>
        </w:tc>
        <w:tc>
          <w:tcPr>
            <w:tcW w:w="152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-3.0769%</w:t>
            </w:r>
          </w:p>
        </w:tc>
        <w:tc>
          <w:tcPr>
            <w:tcW w:w="1531"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-6.1538%</w:t>
            </w:r>
          </w:p>
        </w:tc>
      </w:tr>
      <w:tr>
        <w:tblPrEx>
          <w:tblLayout w:type="fixed"/>
          <w:tblCellMar>
            <w:top w:w="0" w:type="dxa"/>
            <w:left w:w="108" w:type="dxa"/>
            <w:bottom w:w="0" w:type="dxa"/>
            <w:right w:w="108" w:type="dxa"/>
          </w:tblCellMar>
        </w:tblPrEx>
        <w:trPr>
          <w:trHeight w:val="374"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环境条件</w:t>
            </w:r>
          </w:p>
        </w:tc>
        <w:tc>
          <w:tcPr>
            <w:tcW w:w="152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绿化、空气质量、水质量等情况好，无噪音影响</w:t>
            </w:r>
          </w:p>
        </w:tc>
        <w:tc>
          <w:tcPr>
            <w:tcW w:w="152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绿化、空气质量、水质量等情况良好，噪音影响轻微</w:t>
            </w:r>
          </w:p>
        </w:tc>
        <w:tc>
          <w:tcPr>
            <w:tcW w:w="152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绿化、空气质量、水质量等情况一般，噪音影响一般</w:t>
            </w:r>
          </w:p>
        </w:tc>
        <w:tc>
          <w:tcPr>
            <w:tcW w:w="1524"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绿化、空气质量、水质量等情况较差，噪音影响较严重</w:t>
            </w:r>
          </w:p>
        </w:tc>
        <w:tc>
          <w:tcPr>
            <w:tcW w:w="1531"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绿化、空气质量、水质量等情况差，噪音影响严重</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52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2.8385%</w:t>
            </w:r>
          </w:p>
        </w:tc>
        <w:tc>
          <w:tcPr>
            <w:tcW w:w="152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1.4192%</w:t>
            </w:r>
          </w:p>
        </w:tc>
        <w:tc>
          <w:tcPr>
            <w:tcW w:w="152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-1.4192%</w:t>
            </w:r>
          </w:p>
        </w:tc>
        <w:tc>
          <w:tcPr>
            <w:tcW w:w="1531"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-2.8385%</w:t>
            </w:r>
          </w:p>
        </w:tc>
      </w:tr>
      <w:tr>
        <w:tblPrEx>
          <w:tblLayout w:type="fixed"/>
          <w:tblCellMar>
            <w:top w:w="0" w:type="dxa"/>
            <w:left w:w="108" w:type="dxa"/>
            <w:bottom w:w="0" w:type="dxa"/>
            <w:right w:w="108" w:type="dxa"/>
          </w:tblCellMar>
        </w:tblPrEx>
        <w:trPr>
          <w:trHeight w:val="54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产业集聚效益</w:t>
            </w:r>
          </w:p>
        </w:tc>
        <w:tc>
          <w:tcPr>
            <w:tcW w:w="152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产业集聚度高</w:t>
            </w:r>
          </w:p>
        </w:tc>
        <w:tc>
          <w:tcPr>
            <w:tcW w:w="152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产业集聚度较高</w:t>
            </w:r>
          </w:p>
        </w:tc>
        <w:tc>
          <w:tcPr>
            <w:tcW w:w="152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产业集聚度一般</w:t>
            </w:r>
          </w:p>
        </w:tc>
        <w:tc>
          <w:tcPr>
            <w:tcW w:w="1524"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产业集聚度较低</w:t>
            </w:r>
          </w:p>
        </w:tc>
        <w:tc>
          <w:tcPr>
            <w:tcW w:w="1531"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产业集聚度低</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52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2.7846%</w:t>
            </w:r>
          </w:p>
        </w:tc>
        <w:tc>
          <w:tcPr>
            <w:tcW w:w="152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1.3923%</w:t>
            </w:r>
          </w:p>
        </w:tc>
        <w:tc>
          <w:tcPr>
            <w:tcW w:w="152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-1.3923%</w:t>
            </w:r>
          </w:p>
        </w:tc>
        <w:tc>
          <w:tcPr>
            <w:tcW w:w="1531"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-2.7846%</w:t>
            </w:r>
          </w:p>
        </w:tc>
      </w:tr>
      <w:tr>
        <w:tblPrEx>
          <w:tblLayout w:type="fixed"/>
          <w:tblCellMar>
            <w:top w:w="0" w:type="dxa"/>
            <w:left w:w="108" w:type="dxa"/>
            <w:bottom w:w="0" w:type="dxa"/>
            <w:right w:w="108" w:type="dxa"/>
          </w:tblCellMar>
        </w:tblPrEx>
        <w:trPr>
          <w:trHeight w:val="27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用地潜力</w:t>
            </w:r>
          </w:p>
        </w:tc>
        <w:tc>
          <w:tcPr>
            <w:tcW w:w="152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规划前景好</w:t>
            </w:r>
          </w:p>
        </w:tc>
        <w:tc>
          <w:tcPr>
            <w:tcW w:w="152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规划前景较好</w:t>
            </w:r>
          </w:p>
        </w:tc>
        <w:tc>
          <w:tcPr>
            <w:tcW w:w="152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规划前景一般</w:t>
            </w:r>
          </w:p>
        </w:tc>
        <w:tc>
          <w:tcPr>
            <w:tcW w:w="1524"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规划前景较差</w:t>
            </w:r>
          </w:p>
        </w:tc>
        <w:tc>
          <w:tcPr>
            <w:tcW w:w="1531"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规划前景差</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152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2.7846%</w:t>
            </w:r>
          </w:p>
        </w:tc>
        <w:tc>
          <w:tcPr>
            <w:tcW w:w="152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1.3923%</w:t>
            </w:r>
          </w:p>
        </w:tc>
        <w:tc>
          <w:tcPr>
            <w:tcW w:w="1523"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0.00%</w:t>
            </w:r>
          </w:p>
        </w:tc>
        <w:tc>
          <w:tcPr>
            <w:tcW w:w="1524"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-1.3923%</w:t>
            </w:r>
          </w:p>
        </w:tc>
        <w:tc>
          <w:tcPr>
            <w:tcW w:w="1531" w:type="dxa"/>
            <w:tcBorders>
              <w:top w:val="single" w:color="auto" w:sz="4" w:space="0"/>
              <w:left w:val="single" w:color="auto" w:sz="4" w:space="0"/>
              <w:bottom w:val="single" w:color="auto" w:sz="4" w:space="0"/>
              <w:right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-2.7846%</w:t>
            </w:r>
          </w:p>
        </w:tc>
      </w:tr>
    </w:tbl>
    <w:p>
      <w:pPr>
        <w:numPr>
          <w:ilvl w:val="0"/>
          <w:numId w:val="9"/>
        </w:numPr>
        <w:tabs>
          <w:tab w:val="left" w:pos="0"/>
        </w:tabs>
        <w:spacing w:before="72" w:after="72"/>
        <w:ind w:firstLineChars="0"/>
        <w:rPr>
          <w:rFonts w:ascii="仿宋_GB2312" w:hAnsi="仿宋_GB2312" w:eastAsia="仿宋_GB2312" w:cs="仿宋_GB2312"/>
          <w:sz w:val="32"/>
          <w:szCs w:val="32"/>
          <w:lang w:val="zh-CN"/>
        </w:rPr>
      </w:pPr>
      <w:bookmarkStart w:id="118" w:name="_Toc5062042"/>
      <w:r>
        <w:rPr>
          <w:rFonts w:hint="eastAsia" w:ascii="仿宋_GB2312" w:hAnsi="仿宋_GB2312" w:eastAsia="仿宋_GB2312" w:cs="仿宋_GB2312"/>
          <w:sz w:val="32"/>
          <w:szCs w:val="32"/>
        </w:rPr>
        <w:t>容积率修正系数</w:t>
      </w:r>
    </w:p>
    <w:p>
      <w:pPr>
        <w:adjustRightInd w:val="0"/>
        <w:spacing w:line="600" w:lineRule="exact"/>
        <w:ind w:firstLine="620"/>
        <w:rPr>
          <w:rFonts w:ascii="仿宋_GB2312" w:hAnsi="仿宋_GB2312" w:eastAsia="仿宋_GB2312" w:cs="仿宋_GB2312"/>
          <w:spacing w:val="-5"/>
          <w:kern w:val="0"/>
          <w:sz w:val="32"/>
          <w:szCs w:val="32"/>
          <w:lang w:val="zh-CN"/>
        </w:rPr>
      </w:pPr>
      <w:r>
        <w:rPr>
          <w:rFonts w:hint="eastAsia" w:ascii="仿宋_GB2312" w:hAnsi="仿宋_GB2312" w:eastAsia="仿宋_GB2312" w:cs="仿宋_GB2312"/>
          <w:spacing w:val="-5"/>
          <w:kern w:val="0"/>
          <w:sz w:val="32"/>
          <w:szCs w:val="32"/>
        </w:rPr>
        <w:t>考虑到鼓励工业用地集约节约利用以及对工业用地增加容积率不加收出让金的客观实际，此次基准地价成果，工业用地不作容积率修正，即容积率修正系数取1.0。</w:t>
      </w:r>
    </w:p>
    <w:p>
      <w:pPr>
        <w:numPr>
          <w:ilvl w:val="0"/>
          <w:numId w:val="9"/>
        </w:numPr>
        <w:tabs>
          <w:tab w:val="left" w:pos="0"/>
        </w:tabs>
        <w:spacing w:before="72" w:after="72"/>
        <w:ind w:firstLineChars="0"/>
        <w:rPr>
          <w:rFonts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其他个别因素修正系数</w:t>
      </w:r>
      <w:bookmarkEnd w:id="118"/>
    </w:p>
    <w:p>
      <w:pPr>
        <w:adjustRightInd w:val="0"/>
        <w:spacing w:line="600" w:lineRule="exact"/>
        <w:ind w:firstLine="620"/>
        <w:rPr>
          <w:rFonts w:ascii="仿宋_GB2312" w:hAnsi="仿宋_GB2312" w:eastAsia="仿宋_GB2312" w:cs="仿宋_GB2312"/>
          <w:spacing w:val="-5"/>
          <w:kern w:val="0"/>
          <w:sz w:val="32"/>
          <w:szCs w:val="32"/>
          <w:lang w:val="zh-CN"/>
        </w:rPr>
      </w:pPr>
      <w:bookmarkStart w:id="119" w:name="_Toc5062043"/>
      <w:r>
        <w:rPr>
          <w:rFonts w:hint="eastAsia" w:ascii="仿宋_GB2312" w:hAnsi="仿宋_GB2312" w:eastAsia="仿宋_GB2312" w:cs="仿宋_GB2312"/>
          <w:spacing w:val="-5"/>
          <w:kern w:val="0"/>
          <w:sz w:val="32"/>
          <w:szCs w:val="32"/>
          <w:lang w:val="zh-CN"/>
        </w:rPr>
        <w:t>参照城区</w:t>
      </w:r>
      <w:r>
        <w:rPr>
          <w:rFonts w:hint="eastAsia" w:ascii="仿宋_GB2312" w:hAnsi="仿宋_GB2312" w:eastAsia="仿宋_GB2312" w:cs="仿宋_GB2312"/>
          <w:spacing w:val="-5"/>
          <w:kern w:val="0"/>
          <w:sz w:val="32"/>
          <w:szCs w:val="32"/>
        </w:rPr>
        <w:t>工业</w:t>
      </w:r>
      <w:r>
        <w:rPr>
          <w:rFonts w:hint="eastAsia" w:ascii="仿宋_GB2312" w:hAnsi="仿宋_GB2312" w:eastAsia="仿宋_GB2312" w:cs="仿宋_GB2312"/>
          <w:spacing w:val="-5"/>
          <w:kern w:val="0"/>
          <w:sz w:val="32"/>
          <w:szCs w:val="32"/>
          <w:lang w:val="zh-CN"/>
        </w:rPr>
        <w:t>用地其他个别因素修正系数。</w:t>
      </w:r>
    </w:p>
    <w:p>
      <w:pPr>
        <w:numPr>
          <w:ilvl w:val="0"/>
          <w:numId w:val="9"/>
        </w:numPr>
        <w:tabs>
          <w:tab w:val="left" w:pos="0"/>
        </w:tabs>
        <w:spacing w:before="72" w:after="72"/>
        <w:ind w:firstLineChars="0"/>
        <w:rPr>
          <w:rFonts w:ascii="仿宋_GB2312" w:hAnsi="仿宋_GB2312" w:eastAsia="仿宋_GB2312" w:cs="仿宋_GB2312"/>
          <w:sz w:val="32"/>
          <w:szCs w:val="32"/>
          <w:lang w:val="zh-CN"/>
        </w:rPr>
      </w:pPr>
      <w:r>
        <w:rPr>
          <w:rFonts w:hint="eastAsia" w:ascii="仿宋_GB2312" w:hAnsi="仿宋_GB2312" w:eastAsia="仿宋_GB2312" w:cs="仿宋_GB2312"/>
          <w:sz w:val="32"/>
          <w:szCs w:val="32"/>
        </w:rPr>
        <w:t>土地</w:t>
      </w:r>
      <w:r>
        <w:rPr>
          <w:rFonts w:hint="eastAsia" w:ascii="仿宋_GB2312" w:hAnsi="仿宋_GB2312" w:eastAsia="仿宋_GB2312" w:cs="仿宋_GB2312"/>
          <w:sz w:val="32"/>
          <w:szCs w:val="32"/>
          <w:lang w:val="zh-CN"/>
        </w:rPr>
        <w:t>剩余使用年期修正系数</w:t>
      </w:r>
      <w:bookmarkEnd w:id="119"/>
    </w:p>
    <w:p>
      <w:pPr>
        <w:adjustRightInd w:val="0"/>
        <w:spacing w:line="600" w:lineRule="exact"/>
        <w:ind w:firstLine="620"/>
        <w:rPr>
          <w:rFonts w:ascii="仿宋_GB2312" w:hAnsi="仿宋_GB2312" w:eastAsia="仿宋_GB2312" w:cs="仿宋_GB2312"/>
          <w:spacing w:val="-5"/>
          <w:kern w:val="0"/>
          <w:sz w:val="32"/>
          <w:szCs w:val="32"/>
          <w:lang w:val="zh-CN"/>
        </w:rPr>
      </w:pPr>
      <w:r>
        <w:rPr>
          <w:rFonts w:hint="eastAsia" w:ascii="仿宋_GB2312" w:hAnsi="仿宋_GB2312" w:eastAsia="仿宋_GB2312" w:cs="仿宋_GB2312"/>
          <w:spacing w:val="-5"/>
          <w:kern w:val="0"/>
          <w:sz w:val="32"/>
          <w:szCs w:val="32"/>
          <w:lang w:val="zh-CN"/>
        </w:rPr>
        <w:t>土地剩余使用年期修正公式为：</w:t>
      </w:r>
    </w:p>
    <w:p>
      <w:pPr>
        <w:spacing w:line="240" w:lineRule="auto"/>
        <w:ind w:firstLine="0" w:firstLineChars="0"/>
        <w:jc w:val="center"/>
        <w:rPr>
          <w:rFonts w:cs="仿宋"/>
          <w:sz w:val="24"/>
        </w:rPr>
      </w:pPr>
      <w:r>
        <w:rPr>
          <w:rFonts w:hint="eastAsia" w:cs="仿宋"/>
          <w:position w:val="-36"/>
          <w:sz w:val="24"/>
        </w:rPr>
        <w:object>
          <v:shape id="_x0000_i1060" o:spt="75" type="#_x0000_t75" style="height:41.9pt;width:165.5pt;" o:ole="t" filled="f" o:preferrelative="t" stroked="f" coordsize="21600,21600">
            <v:path/>
            <v:fill on="f" focussize="0,0"/>
            <v:stroke on="f" joinstyle="miter"/>
            <v:imagedata r:id="rId85" o:title=""/>
            <o:lock v:ext="edit" aspectratio="t"/>
            <w10:wrap type="none"/>
            <w10:anchorlock/>
          </v:shape>
          <o:OLEObject Type="Embed" ProgID="Equation.3" ShapeID="_x0000_i1060" DrawAspect="Content" ObjectID="_1468075760" r:id="rId84">
            <o:LockedField>false</o:LockedField>
          </o:OLEObject>
        </w:object>
      </w:r>
    </w:p>
    <w:p>
      <w:pPr>
        <w:rPr>
          <w:rFonts w:ascii="仿宋_GB2312" w:hAnsi="仿宋_GB2312" w:eastAsia="仿宋_GB2312" w:cs="仿宋_GB2312"/>
          <w:sz w:val="24"/>
        </w:rPr>
      </w:pPr>
      <w:r>
        <w:rPr>
          <w:rFonts w:hint="eastAsia" w:ascii="仿宋_GB2312" w:hAnsi="仿宋_GB2312" w:eastAsia="仿宋_GB2312" w:cs="仿宋_GB2312"/>
          <w:sz w:val="24"/>
        </w:rPr>
        <w:t>式中：</w:t>
      </w:r>
      <w:r>
        <w:rPr>
          <w:rFonts w:hint="eastAsia" w:ascii="仿宋_GB2312" w:hAnsi="仿宋_GB2312" w:eastAsia="仿宋_GB2312" w:cs="仿宋_GB2312"/>
          <w:position w:val="-4"/>
          <w:sz w:val="24"/>
        </w:rPr>
        <w:object>
          <v:shape id="_x0000_i1061" o:spt="75" type="#_x0000_t75" style="height:9.65pt;width:8.6pt;" o:ole="t" filled="f" o:preferrelative="t" stroked="f" coordsize="21600,21600">
            <v:path/>
            <v:fill on="f" focussize="0,0"/>
            <v:stroke on="f" joinstyle="miter"/>
            <v:imagedata r:id="rId87" o:title=""/>
            <o:lock v:ext="edit" aspectratio="t"/>
            <w10:wrap type="none"/>
            <w10:anchorlock/>
          </v:shape>
          <o:OLEObject Type="Embed" ProgID="Equation.3" ShapeID="_x0000_i1061" DrawAspect="Content" ObjectID="_1468075761" r:id="rId86">
            <o:LockedField>false</o:LockedField>
          </o:OLEObject>
        </w:object>
      </w:r>
      <w:r>
        <w:rPr>
          <w:rFonts w:hint="eastAsia" w:ascii="仿宋_GB2312" w:hAnsi="仿宋_GB2312" w:eastAsia="仿宋_GB2312" w:cs="仿宋_GB2312"/>
          <w:sz w:val="24"/>
        </w:rPr>
        <w:t>——土地还原率；</w:t>
      </w:r>
      <w:r>
        <w:rPr>
          <w:rFonts w:hint="eastAsia" w:ascii="仿宋_GB2312" w:hAnsi="仿宋_GB2312" w:eastAsia="仿宋_GB2312" w:cs="仿宋_GB2312"/>
          <w:position w:val="-6"/>
          <w:sz w:val="24"/>
        </w:rPr>
        <w:object>
          <v:shape id="_x0000_i1062" o:spt="75" type="#_x0000_t75" style="height:10.75pt;width:12.9pt;" o:ole="t" filled="f" o:preferrelative="t" stroked="f" coordsize="21600,21600">
            <v:path/>
            <v:fill on="f" focussize="0,0"/>
            <v:stroke on="f" joinstyle="miter"/>
            <v:imagedata r:id="rId89" o:title=""/>
            <o:lock v:ext="edit" aspectratio="t"/>
            <w10:wrap type="none"/>
            <w10:anchorlock/>
          </v:shape>
          <o:OLEObject Type="Embed" ProgID="Equation.3" ShapeID="_x0000_i1062" DrawAspect="Content" ObjectID="_1468075762" r:id="rId88">
            <o:LockedField>false</o:LockedField>
          </o:OLEObject>
        </w:object>
      </w:r>
      <w:r>
        <w:rPr>
          <w:rFonts w:hint="eastAsia" w:ascii="仿宋_GB2312" w:hAnsi="仿宋_GB2312" w:eastAsia="仿宋_GB2312" w:cs="仿宋_GB2312"/>
          <w:sz w:val="24"/>
        </w:rPr>
        <w:t>——土地使用权法定最高出让年限50年；</w:t>
      </w:r>
    </w:p>
    <w:p>
      <w:pPr>
        <w:ind w:firstLine="1200" w:firstLineChars="500"/>
      </w:pPr>
      <w:r>
        <w:rPr>
          <w:rFonts w:hint="eastAsia" w:ascii="仿宋_GB2312" w:hAnsi="仿宋_GB2312" w:eastAsia="仿宋_GB2312" w:cs="仿宋_GB2312"/>
          <w:position w:val="-6"/>
          <w:sz w:val="24"/>
        </w:rPr>
        <w:object>
          <v:shape id="_x0000_i1063" o:spt="75" type="#_x0000_t75" style="height:10.75pt;width:9.65pt;" o:ole="t" filled="f" o:preferrelative="t" stroked="f" coordsize="21600,21600">
            <v:path/>
            <v:fill on="f" focussize="0,0"/>
            <v:stroke on="f" joinstyle="miter"/>
            <v:imagedata r:id="rId91" o:title=""/>
            <o:lock v:ext="edit" aspectratio="t"/>
            <w10:wrap type="none"/>
            <w10:anchorlock/>
          </v:shape>
          <o:OLEObject Type="Embed" ProgID="Equation.3" ShapeID="_x0000_i1063" DrawAspect="Content" ObjectID="_1468075763" r:id="rId90">
            <o:LockedField>false</o:LockedField>
          </o:OLEObject>
        </w:object>
      </w:r>
      <w:r>
        <w:rPr>
          <w:rFonts w:hint="eastAsia" w:ascii="仿宋_GB2312" w:hAnsi="仿宋_GB2312" w:eastAsia="仿宋_GB2312" w:cs="仿宋_GB2312"/>
          <w:sz w:val="24"/>
        </w:rPr>
        <w:t>——土地剩余使用年期；</w:t>
      </w:r>
      <w:r>
        <w:rPr>
          <w:rFonts w:hint="eastAsia" w:ascii="仿宋_GB2312" w:hAnsi="仿宋_GB2312" w:eastAsia="仿宋_GB2312" w:cs="仿宋_GB2312"/>
          <w:position w:val="-4"/>
          <w:sz w:val="24"/>
        </w:rPr>
        <w:object>
          <v:shape id="_x0000_i1064" o:spt="75" type="#_x0000_t75" style="height:12.9pt;width:10.75pt;" o:ole="t" filled="f" o:preferrelative="t" stroked="f" coordsize="21600,21600">
            <v:path/>
            <v:fill on="f" focussize="0,0"/>
            <v:stroke on="f" joinstyle="miter"/>
            <v:imagedata r:id="rId93" o:title=""/>
            <o:lock v:ext="edit" aspectratio="t"/>
            <w10:wrap type="none"/>
            <w10:anchorlock/>
          </v:shape>
          <o:OLEObject Type="Embed" ProgID="Equation.3" ShapeID="_x0000_i1064" DrawAspect="Content" ObjectID="_1468075764" r:id="rId92">
            <o:LockedField>false</o:LockedField>
          </o:OLEObject>
        </w:object>
      </w:r>
      <w:r>
        <w:rPr>
          <w:rFonts w:hint="eastAsia" w:ascii="仿宋_GB2312" w:hAnsi="仿宋_GB2312" w:eastAsia="仿宋_GB2312" w:cs="仿宋_GB2312"/>
          <w:sz w:val="24"/>
        </w:rPr>
        <w:t>——土地剩余使用年期修正系数。</w:t>
      </w: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乡镇工业用地剩余使用年期修正系数表（土地还原率为4.0%）</w:t>
      </w:r>
    </w:p>
    <w:tbl>
      <w:tblPr>
        <w:tblStyle w:val="47"/>
        <w:tblW w:w="9282" w:type="dxa"/>
        <w:jc w:val="center"/>
        <w:tblInd w:w="0" w:type="dxa"/>
        <w:tblLayout w:type="fixed"/>
        <w:tblCellMar>
          <w:top w:w="0" w:type="dxa"/>
          <w:left w:w="108" w:type="dxa"/>
          <w:bottom w:w="0" w:type="dxa"/>
          <w:right w:w="108" w:type="dxa"/>
        </w:tblCellMar>
      </w:tblPr>
      <w:tblGrid>
        <w:gridCol w:w="1213"/>
        <w:gridCol w:w="805"/>
        <w:gridCol w:w="805"/>
        <w:gridCol w:w="806"/>
        <w:gridCol w:w="806"/>
        <w:gridCol w:w="806"/>
        <w:gridCol w:w="806"/>
        <w:gridCol w:w="806"/>
        <w:gridCol w:w="806"/>
        <w:gridCol w:w="806"/>
        <w:gridCol w:w="817"/>
      </w:tblGrid>
      <w:tr>
        <w:tblPrEx>
          <w:tblLayout w:type="fixed"/>
          <w:tblCellMar>
            <w:top w:w="0" w:type="dxa"/>
            <w:left w:w="108" w:type="dxa"/>
            <w:bottom w:w="0" w:type="dxa"/>
            <w:right w:w="108" w:type="dxa"/>
          </w:tblCellMar>
        </w:tblPrEx>
        <w:trPr>
          <w:trHeight w:val="446" w:hRule="atLeast"/>
          <w:jc w:val="center"/>
        </w:trPr>
        <w:tc>
          <w:tcPr>
            <w:tcW w:w="1213"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bookmarkStart w:id="120" w:name="_Toc5062044"/>
            <w:r>
              <w:rPr>
                <w:rFonts w:hint="eastAsia" w:ascii="仿宋_GB2312" w:hAnsi="仿宋_GB2312" w:eastAsia="仿宋_GB2312" w:cs="仿宋_GB2312"/>
                <w:kern w:val="0"/>
                <w:sz w:val="24"/>
              </w:rPr>
              <w:t>剩余年期</w:t>
            </w:r>
          </w:p>
        </w:tc>
        <w:tc>
          <w:tcPr>
            <w:tcW w:w="805"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w:t>
            </w:r>
          </w:p>
        </w:tc>
        <w:tc>
          <w:tcPr>
            <w:tcW w:w="805"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5</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6</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7</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8</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9</w:t>
            </w:r>
          </w:p>
        </w:tc>
        <w:tc>
          <w:tcPr>
            <w:tcW w:w="817"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10</w:t>
            </w:r>
          </w:p>
        </w:tc>
      </w:tr>
      <w:tr>
        <w:tblPrEx>
          <w:tblLayout w:type="fixed"/>
          <w:tblCellMar>
            <w:top w:w="0" w:type="dxa"/>
            <w:left w:w="108" w:type="dxa"/>
            <w:bottom w:w="0" w:type="dxa"/>
            <w:right w:w="108" w:type="dxa"/>
          </w:tblCellMar>
        </w:tblPrEx>
        <w:trPr>
          <w:trHeight w:val="473" w:hRule="atLeast"/>
          <w:jc w:val="center"/>
        </w:trPr>
        <w:tc>
          <w:tcPr>
            <w:tcW w:w="1213"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805"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0.0448</w:t>
            </w:r>
          </w:p>
        </w:tc>
        <w:tc>
          <w:tcPr>
            <w:tcW w:w="805"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0.0878</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0.1292</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0.169</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0.2072</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0.244</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0.2794</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0.3134</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0.3461</w:t>
            </w:r>
          </w:p>
        </w:tc>
        <w:tc>
          <w:tcPr>
            <w:tcW w:w="817"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0.3776</w:t>
            </w:r>
          </w:p>
        </w:tc>
      </w:tr>
      <w:tr>
        <w:tblPrEx>
          <w:tblLayout w:type="fixed"/>
          <w:tblCellMar>
            <w:top w:w="0" w:type="dxa"/>
            <w:left w:w="108" w:type="dxa"/>
            <w:bottom w:w="0" w:type="dxa"/>
            <w:right w:w="108" w:type="dxa"/>
          </w:tblCellMar>
        </w:tblPrEx>
        <w:trPr>
          <w:trHeight w:val="405" w:hRule="atLeast"/>
          <w:jc w:val="center"/>
        </w:trPr>
        <w:tc>
          <w:tcPr>
            <w:tcW w:w="1213"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剩余年期</w:t>
            </w:r>
          </w:p>
        </w:tc>
        <w:tc>
          <w:tcPr>
            <w:tcW w:w="805"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11</w:t>
            </w:r>
          </w:p>
        </w:tc>
        <w:tc>
          <w:tcPr>
            <w:tcW w:w="805"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12</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13</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14</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15</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16</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17</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18</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19</w:t>
            </w:r>
          </w:p>
        </w:tc>
        <w:tc>
          <w:tcPr>
            <w:tcW w:w="817"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20</w:t>
            </w:r>
          </w:p>
        </w:tc>
      </w:tr>
      <w:tr>
        <w:tblPrEx>
          <w:tblLayout w:type="fixed"/>
          <w:tblCellMar>
            <w:top w:w="0" w:type="dxa"/>
            <w:left w:w="108" w:type="dxa"/>
            <w:bottom w:w="0" w:type="dxa"/>
            <w:right w:w="108" w:type="dxa"/>
          </w:tblCellMar>
        </w:tblPrEx>
        <w:trPr>
          <w:trHeight w:val="446" w:hRule="atLeast"/>
          <w:jc w:val="center"/>
        </w:trPr>
        <w:tc>
          <w:tcPr>
            <w:tcW w:w="1213"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805"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0.4078</w:t>
            </w:r>
          </w:p>
        </w:tc>
        <w:tc>
          <w:tcPr>
            <w:tcW w:w="805"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0.4369</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0.4648</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0.4917</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0.5176</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0.5424</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0.5663</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0.5893</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0.6114</w:t>
            </w:r>
          </w:p>
        </w:tc>
        <w:tc>
          <w:tcPr>
            <w:tcW w:w="817"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0.6326</w:t>
            </w:r>
          </w:p>
        </w:tc>
      </w:tr>
      <w:tr>
        <w:tblPrEx>
          <w:tblLayout w:type="fixed"/>
          <w:tblCellMar>
            <w:top w:w="0" w:type="dxa"/>
            <w:left w:w="108" w:type="dxa"/>
            <w:bottom w:w="0" w:type="dxa"/>
            <w:right w:w="108" w:type="dxa"/>
          </w:tblCellMar>
        </w:tblPrEx>
        <w:trPr>
          <w:trHeight w:val="418" w:hRule="atLeast"/>
          <w:jc w:val="center"/>
        </w:trPr>
        <w:tc>
          <w:tcPr>
            <w:tcW w:w="1213"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剩余年期</w:t>
            </w:r>
          </w:p>
        </w:tc>
        <w:tc>
          <w:tcPr>
            <w:tcW w:w="805"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21</w:t>
            </w:r>
          </w:p>
        </w:tc>
        <w:tc>
          <w:tcPr>
            <w:tcW w:w="805"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22</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23</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24</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25</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26</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27</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28</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29</w:t>
            </w:r>
          </w:p>
        </w:tc>
        <w:tc>
          <w:tcPr>
            <w:tcW w:w="817"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30</w:t>
            </w:r>
          </w:p>
        </w:tc>
      </w:tr>
      <w:tr>
        <w:tblPrEx>
          <w:tblLayout w:type="fixed"/>
          <w:tblCellMar>
            <w:top w:w="0" w:type="dxa"/>
            <w:left w:w="108" w:type="dxa"/>
            <w:bottom w:w="0" w:type="dxa"/>
            <w:right w:w="108" w:type="dxa"/>
          </w:tblCellMar>
        </w:tblPrEx>
        <w:trPr>
          <w:trHeight w:val="446" w:hRule="atLeast"/>
          <w:jc w:val="center"/>
        </w:trPr>
        <w:tc>
          <w:tcPr>
            <w:tcW w:w="1213"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805"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0.6531</w:t>
            </w:r>
          </w:p>
        </w:tc>
        <w:tc>
          <w:tcPr>
            <w:tcW w:w="805"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0.6727</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0.6916</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0.7097</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0.7272</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0.744</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0.7601</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0.7757</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0.7906</w:t>
            </w:r>
          </w:p>
        </w:tc>
        <w:tc>
          <w:tcPr>
            <w:tcW w:w="817"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0.8049</w:t>
            </w:r>
          </w:p>
        </w:tc>
      </w:tr>
      <w:tr>
        <w:tblPrEx>
          <w:tblLayout w:type="fixed"/>
          <w:tblCellMar>
            <w:top w:w="0" w:type="dxa"/>
            <w:left w:w="108" w:type="dxa"/>
            <w:bottom w:w="0" w:type="dxa"/>
            <w:right w:w="108" w:type="dxa"/>
          </w:tblCellMar>
        </w:tblPrEx>
        <w:trPr>
          <w:trHeight w:val="432" w:hRule="atLeast"/>
          <w:jc w:val="center"/>
        </w:trPr>
        <w:tc>
          <w:tcPr>
            <w:tcW w:w="1213"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剩余年期</w:t>
            </w:r>
          </w:p>
        </w:tc>
        <w:tc>
          <w:tcPr>
            <w:tcW w:w="805"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31</w:t>
            </w:r>
          </w:p>
        </w:tc>
        <w:tc>
          <w:tcPr>
            <w:tcW w:w="805"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32</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33</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34</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35</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36</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37</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38</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39</w:t>
            </w:r>
          </w:p>
        </w:tc>
        <w:tc>
          <w:tcPr>
            <w:tcW w:w="817"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40</w:t>
            </w:r>
          </w:p>
        </w:tc>
      </w:tr>
      <w:tr>
        <w:tblPrEx>
          <w:tblLayout w:type="fixed"/>
          <w:tblCellMar>
            <w:top w:w="0" w:type="dxa"/>
            <w:left w:w="108" w:type="dxa"/>
            <w:bottom w:w="0" w:type="dxa"/>
            <w:right w:w="108" w:type="dxa"/>
          </w:tblCellMar>
        </w:tblPrEx>
        <w:trPr>
          <w:trHeight w:val="378" w:hRule="atLeast"/>
          <w:jc w:val="center"/>
        </w:trPr>
        <w:tc>
          <w:tcPr>
            <w:tcW w:w="1213"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805"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0.8187</w:t>
            </w:r>
          </w:p>
        </w:tc>
        <w:tc>
          <w:tcPr>
            <w:tcW w:w="805"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0.832</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0.8448</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0.857</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0.8688</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0.8802</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0.8911</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0.9016</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0.9117</w:t>
            </w:r>
          </w:p>
        </w:tc>
        <w:tc>
          <w:tcPr>
            <w:tcW w:w="817"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0.9214</w:t>
            </w:r>
          </w:p>
        </w:tc>
      </w:tr>
      <w:tr>
        <w:tblPrEx>
          <w:tblLayout w:type="fixed"/>
          <w:tblCellMar>
            <w:top w:w="0" w:type="dxa"/>
            <w:left w:w="108" w:type="dxa"/>
            <w:bottom w:w="0" w:type="dxa"/>
            <w:right w:w="108" w:type="dxa"/>
          </w:tblCellMar>
        </w:tblPrEx>
        <w:trPr>
          <w:trHeight w:val="364" w:hRule="atLeast"/>
          <w:jc w:val="center"/>
        </w:trPr>
        <w:tc>
          <w:tcPr>
            <w:tcW w:w="1213"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剩余年期</w:t>
            </w:r>
          </w:p>
        </w:tc>
        <w:tc>
          <w:tcPr>
            <w:tcW w:w="805"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41</w:t>
            </w:r>
          </w:p>
        </w:tc>
        <w:tc>
          <w:tcPr>
            <w:tcW w:w="805"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42</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43</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44</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45</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46</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47</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48</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49</w:t>
            </w:r>
          </w:p>
        </w:tc>
        <w:tc>
          <w:tcPr>
            <w:tcW w:w="817"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50</w:t>
            </w:r>
          </w:p>
        </w:tc>
      </w:tr>
      <w:tr>
        <w:tblPrEx>
          <w:tblLayout w:type="fixed"/>
          <w:tblCellMar>
            <w:top w:w="0" w:type="dxa"/>
            <w:left w:w="108" w:type="dxa"/>
            <w:bottom w:w="0" w:type="dxa"/>
            <w:right w:w="108" w:type="dxa"/>
          </w:tblCellMar>
        </w:tblPrEx>
        <w:trPr>
          <w:trHeight w:val="421" w:hRule="atLeast"/>
          <w:jc w:val="center"/>
        </w:trPr>
        <w:tc>
          <w:tcPr>
            <w:tcW w:w="1213"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805"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0.9307</w:t>
            </w:r>
          </w:p>
        </w:tc>
        <w:tc>
          <w:tcPr>
            <w:tcW w:w="805"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0.9396</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0.9483</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0.9566</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0.9645</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0.9722</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0.9796</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0.9866</w:t>
            </w:r>
          </w:p>
        </w:tc>
        <w:tc>
          <w:tcPr>
            <w:tcW w:w="80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0.9934</w:t>
            </w:r>
          </w:p>
        </w:tc>
        <w:tc>
          <w:tcPr>
            <w:tcW w:w="817"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w:t>
            </w:r>
          </w:p>
        </w:tc>
      </w:tr>
    </w:tbl>
    <w:p>
      <w:pPr>
        <w:numPr>
          <w:ilvl w:val="0"/>
          <w:numId w:val="9"/>
        </w:numPr>
        <w:tabs>
          <w:tab w:val="left" w:pos="0"/>
        </w:tabs>
        <w:spacing w:before="72" w:after="72"/>
        <w:ind w:firstLineChars="0"/>
        <w:rPr>
          <w:rFonts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土地开发程度修正</w:t>
      </w:r>
      <w:bookmarkEnd w:id="120"/>
    </w:p>
    <w:p>
      <w:pPr>
        <w:numPr>
          <w:ilvl w:val="0"/>
          <w:numId w:val="1"/>
        </w:numPr>
        <w:tabs>
          <w:tab w:val="left" w:pos="0"/>
        </w:tabs>
        <w:ind w:firstLineChars="0"/>
        <w:jc w:val="center"/>
        <w:rPr>
          <w:rFonts w:ascii="仿宋_GB2312" w:hAnsi="仿宋_GB2312" w:eastAsia="仿宋_GB2312" w:cs="仿宋_GB2312"/>
          <w:sz w:val="32"/>
          <w:szCs w:val="32"/>
          <w:lang w:val="zh-CN"/>
        </w:rPr>
      </w:pPr>
      <w:r>
        <w:rPr>
          <w:rFonts w:hint="eastAsia" w:ascii="仿宋_GB2312" w:hAnsi="仿宋_GB2312" w:eastAsia="仿宋_GB2312" w:cs="仿宋_GB2312"/>
          <w:sz w:val="32"/>
          <w:szCs w:val="32"/>
        </w:rPr>
        <w:t>土地使用开发程度修正表（土地面积）</w:t>
      </w:r>
    </w:p>
    <w:tbl>
      <w:tblPr>
        <w:tblStyle w:val="47"/>
        <w:tblW w:w="9280"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30"/>
        <w:gridCol w:w="952"/>
        <w:gridCol w:w="1012"/>
        <w:gridCol w:w="928"/>
        <w:gridCol w:w="928"/>
        <w:gridCol w:w="928"/>
        <w:gridCol w:w="928"/>
        <w:gridCol w:w="947"/>
        <w:gridCol w:w="122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69" w:hRule="atLeast"/>
          <w:tblHeader/>
          <w:jc w:val="center"/>
        </w:trPr>
        <w:tc>
          <w:tcPr>
            <w:tcW w:w="1430" w:type="dxa"/>
            <w:vMerge w:val="restart"/>
            <w:tcBorders>
              <w:top w:val="single" w:color="auto" w:sz="4" w:space="0"/>
              <w:lef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土地开发</w:t>
            </w:r>
          </w:p>
          <w:p>
            <w:pPr>
              <w:autoSpaceDE/>
              <w:autoSpaceDN/>
              <w:adjustRightInd w:val="0"/>
              <w:snapToGrid w:val="0"/>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程度</w:t>
            </w:r>
          </w:p>
        </w:tc>
        <w:tc>
          <w:tcPr>
            <w:tcW w:w="6623" w:type="dxa"/>
            <w:gridSpan w:val="7"/>
            <w:tcBorders>
              <w:top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开发项目及成本（元/平方米）</w:t>
            </w:r>
          </w:p>
        </w:tc>
        <w:tc>
          <w:tcPr>
            <w:tcW w:w="1227" w:type="dxa"/>
            <w:tcBorders>
              <w:top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合计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69" w:hRule="atLeast"/>
          <w:tblHeader/>
          <w:jc w:val="center"/>
        </w:trPr>
        <w:tc>
          <w:tcPr>
            <w:tcW w:w="1430" w:type="dxa"/>
            <w:vMerge w:val="continue"/>
            <w:tcBorders>
              <w:left w:val="single" w:color="auto" w:sz="4" w:space="0"/>
            </w:tcBorders>
            <w:shd w:val="clear" w:color="auto" w:fill="auto"/>
            <w:vAlign w:val="center"/>
          </w:tcPr>
          <w:p>
            <w:pPr>
              <w:autoSpaceDE/>
              <w:autoSpaceDN/>
              <w:adjustRightInd w:val="0"/>
              <w:snapToGrid w:val="0"/>
              <w:spacing w:line="240" w:lineRule="auto"/>
              <w:ind w:firstLine="0" w:firstLineChars="0"/>
              <w:jc w:val="center"/>
              <w:rPr>
                <w:rFonts w:ascii="仿宋_GB2312" w:hAnsi="仿宋_GB2312" w:eastAsia="仿宋_GB2312" w:cs="仿宋_GB2312"/>
                <w:kern w:val="0"/>
                <w:sz w:val="24"/>
              </w:rPr>
            </w:pPr>
          </w:p>
        </w:tc>
        <w:tc>
          <w:tcPr>
            <w:tcW w:w="952" w:type="dxa"/>
            <w:shd w:val="clear" w:color="000000" w:fill="FFFFFF"/>
            <w:vAlign w:val="center"/>
          </w:tcPr>
          <w:p>
            <w:pPr>
              <w:autoSpaceDE/>
              <w:autoSpaceDN/>
              <w:adjustRightInd w:val="0"/>
              <w:snapToGrid w:val="0"/>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通上水</w:t>
            </w:r>
          </w:p>
        </w:tc>
        <w:tc>
          <w:tcPr>
            <w:tcW w:w="1012" w:type="dxa"/>
            <w:shd w:val="clear" w:color="auto" w:fill="auto"/>
            <w:vAlign w:val="center"/>
          </w:tcPr>
          <w:p>
            <w:pPr>
              <w:autoSpaceDE/>
              <w:autoSpaceDN/>
              <w:adjustRightInd w:val="0"/>
              <w:snapToGrid w:val="0"/>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通下水</w:t>
            </w:r>
          </w:p>
        </w:tc>
        <w:tc>
          <w:tcPr>
            <w:tcW w:w="928" w:type="dxa"/>
            <w:shd w:val="clear" w:color="auto" w:fill="auto"/>
            <w:vAlign w:val="center"/>
          </w:tcPr>
          <w:p>
            <w:pPr>
              <w:autoSpaceDE/>
              <w:autoSpaceDN/>
              <w:adjustRightInd w:val="0"/>
              <w:snapToGrid w:val="0"/>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通电</w:t>
            </w:r>
          </w:p>
        </w:tc>
        <w:tc>
          <w:tcPr>
            <w:tcW w:w="928" w:type="dxa"/>
            <w:shd w:val="clear" w:color="000000" w:fill="FFFFFF"/>
            <w:vAlign w:val="center"/>
          </w:tcPr>
          <w:p>
            <w:pPr>
              <w:autoSpaceDE/>
              <w:autoSpaceDN/>
              <w:adjustRightInd w:val="0"/>
              <w:snapToGrid w:val="0"/>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通讯</w:t>
            </w:r>
          </w:p>
        </w:tc>
        <w:tc>
          <w:tcPr>
            <w:tcW w:w="928"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通路</w:t>
            </w:r>
          </w:p>
        </w:tc>
        <w:tc>
          <w:tcPr>
            <w:tcW w:w="928"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通气</w:t>
            </w:r>
          </w:p>
        </w:tc>
        <w:tc>
          <w:tcPr>
            <w:tcW w:w="947" w:type="dxa"/>
            <w:vAlign w:val="center"/>
          </w:tcPr>
          <w:p>
            <w:pPr>
              <w:autoSpaceDE/>
              <w:autoSpaceDN/>
              <w:adjustRightInd w:val="0"/>
              <w:snapToGrid w:val="0"/>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平整</w:t>
            </w:r>
          </w:p>
          <w:p>
            <w:pPr>
              <w:autoSpaceDE/>
              <w:autoSpaceDN/>
              <w:adjustRightInd w:val="0"/>
              <w:snapToGrid w:val="0"/>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土地</w:t>
            </w:r>
          </w:p>
        </w:tc>
        <w:tc>
          <w:tcPr>
            <w:tcW w:w="1227" w:type="dxa"/>
            <w:tcBorders>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元/平方米</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369" w:hRule="atLeast"/>
          <w:jc w:val="center"/>
        </w:trPr>
        <w:tc>
          <w:tcPr>
            <w:tcW w:w="1430" w:type="dxa"/>
            <w:tcBorders>
              <w:left w:val="single" w:color="auto" w:sz="4" w:space="0"/>
              <w:bottom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取值范围</w:t>
            </w:r>
          </w:p>
        </w:tc>
        <w:tc>
          <w:tcPr>
            <w:tcW w:w="952" w:type="dxa"/>
            <w:tcBorders>
              <w:bottom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10～30</w:t>
            </w:r>
          </w:p>
        </w:tc>
        <w:tc>
          <w:tcPr>
            <w:tcW w:w="1012" w:type="dxa"/>
            <w:tcBorders>
              <w:bottom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5～15</w:t>
            </w:r>
          </w:p>
        </w:tc>
        <w:tc>
          <w:tcPr>
            <w:tcW w:w="928" w:type="dxa"/>
            <w:tcBorders>
              <w:bottom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15～45</w:t>
            </w:r>
          </w:p>
        </w:tc>
        <w:tc>
          <w:tcPr>
            <w:tcW w:w="928" w:type="dxa"/>
            <w:tcBorders>
              <w:bottom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5～15</w:t>
            </w:r>
          </w:p>
        </w:tc>
        <w:tc>
          <w:tcPr>
            <w:tcW w:w="928" w:type="dxa"/>
            <w:tcBorders>
              <w:bottom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20～45</w:t>
            </w:r>
          </w:p>
        </w:tc>
        <w:tc>
          <w:tcPr>
            <w:tcW w:w="928" w:type="dxa"/>
            <w:tcBorders>
              <w:bottom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10～20</w:t>
            </w:r>
          </w:p>
        </w:tc>
        <w:tc>
          <w:tcPr>
            <w:tcW w:w="947" w:type="dxa"/>
            <w:tcBorders>
              <w:bottom w:val="single" w:color="auto" w:sz="4" w:space="0"/>
            </w:tcBorders>
            <w:vAlign w:val="center"/>
          </w:tcPr>
          <w:p>
            <w:pPr>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15～45</w:t>
            </w:r>
          </w:p>
        </w:tc>
        <w:tc>
          <w:tcPr>
            <w:tcW w:w="1227" w:type="dxa"/>
            <w:tcBorders>
              <w:bottom w:val="single" w:color="auto" w:sz="4" w:space="0"/>
              <w:right w:val="single" w:color="auto" w:sz="4" w:space="0"/>
            </w:tcBorders>
            <w:vAlign w:val="center"/>
          </w:tcPr>
          <w:p>
            <w:pPr>
              <w:autoSpaceDE/>
              <w:autoSpaceDN/>
              <w:adjustRightInd w:val="0"/>
              <w:snapToGrid w:val="0"/>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80～215</w:t>
            </w:r>
          </w:p>
        </w:tc>
      </w:tr>
    </w:tbl>
    <w:p>
      <w:pPr>
        <w:adjustRightInd w:val="0"/>
        <w:spacing w:line="580" w:lineRule="exact"/>
        <w:ind w:firstLine="640"/>
        <w:rPr>
          <w:rFonts w:ascii="楷体_GB2312" w:hAnsi="楷体_GB2312" w:eastAsia="楷体_GB2312" w:cs="楷体_GB2312"/>
          <w:snapToGrid w:val="0"/>
          <w:color w:val="000000"/>
          <w:kern w:val="0"/>
          <w:sz w:val="32"/>
          <w:szCs w:val="32"/>
        </w:rPr>
      </w:pPr>
      <w:bookmarkStart w:id="121" w:name="_Toc3991"/>
      <w:r>
        <w:rPr>
          <w:rFonts w:hint="eastAsia" w:ascii="楷体_GB2312" w:hAnsi="楷体_GB2312" w:eastAsia="楷体_GB2312" w:cs="楷体_GB2312"/>
          <w:snapToGrid w:val="0"/>
          <w:color w:val="000000"/>
          <w:kern w:val="0"/>
          <w:sz w:val="32"/>
          <w:szCs w:val="32"/>
        </w:rPr>
        <w:t>（九）乡镇公共服务用地宗地地价修正体系编制</w:t>
      </w:r>
      <w:bookmarkEnd w:id="121"/>
    </w:p>
    <w:p>
      <w:pPr>
        <w:numPr>
          <w:ilvl w:val="0"/>
          <w:numId w:val="10"/>
        </w:numPr>
        <w:tabs>
          <w:tab w:val="left" w:pos="0"/>
        </w:tabs>
        <w:spacing w:before="72" w:after="72"/>
        <w:ind w:firstLineChars="0"/>
        <w:rPr>
          <w:rFonts w:ascii="仿宋_GB2312" w:hAnsi="仿宋_GB2312" w:eastAsia="仿宋_GB2312" w:cs="仿宋_GB2312"/>
          <w:sz w:val="32"/>
          <w:szCs w:val="32"/>
          <w:lang w:val="zh-CN"/>
        </w:rPr>
      </w:pPr>
      <w:bookmarkStart w:id="122" w:name="_Toc5062047"/>
      <w:r>
        <w:rPr>
          <w:rFonts w:hint="eastAsia" w:ascii="仿宋_GB2312" w:hAnsi="仿宋_GB2312" w:eastAsia="仿宋_GB2312" w:cs="仿宋_GB2312"/>
          <w:sz w:val="32"/>
          <w:szCs w:val="32"/>
          <w:lang w:val="zh-CN"/>
        </w:rPr>
        <w:t>容积率修正系数</w:t>
      </w:r>
      <w:bookmarkEnd w:id="122"/>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参照城区公共服务用地容积率修正系数。</w:t>
      </w:r>
    </w:p>
    <w:p>
      <w:pPr>
        <w:numPr>
          <w:ilvl w:val="0"/>
          <w:numId w:val="10"/>
        </w:numPr>
        <w:tabs>
          <w:tab w:val="left" w:pos="0"/>
        </w:tabs>
        <w:spacing w:before="72" w:after="72"/>
        <w:ind w:firstLineChars="0"/>
        <w:rPr>
          <w:rFonts w:ascii="仿宋_GB2312" w:hAnsi="仿宋_GB2312" w:eastAsia="仿宋_GB2312" w:cs="仿宋_GB2312"/>
          <w:sz w:val="32"/>
          <w:szCs w:val="32"/>
        </w:rPr>
      </w:pPr>
      <w:bookmarkStart w:id="123" w:name="_Toc5062048"/>
      <w:r>
        <w:rPr>
          <w:rFonts w:hint="eastAsia" w:ascii="仿宋_GB2312" w:hAnsi="仿宋_GB2312" w:eastAsia="仿宋_GB2312" w:cs="仿宋_GB2312"/>
          <w:sz w:val="32"/>
          <w:szCs w:val="32"/>
        </w:rPr>
        <w:t>区域因素修正系数</w:t>
      </w:r>
      <w:bookmarkEnd w:id="123"/>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乡镇公共服务用地区域因素修正系数表</w:t>
      </w:r>
    </w:p>
    <w:tbl>
      <w:tblPr>
        <w:tblStyle w:val="47"/>
        <w:tblW w:w="9331" w:type="dxa"/>
        <w:jc w:val="center"/>
        <w:tblInd w:w="0" w:type="dxa"/>
        <w:tblLayout w:type="fixed"/>
        <w:tblCellMar>
          <w:top w:w="0" w:type="dxa"/>
          <w:left w:w="108" w:type="dxa"/>
          <w:bottom w:w="0" w:type="dxa"/>
          <w:right w:w="108" w:type="dxa"/>
        </w:tblCellMar>
      </w:tblPr>
      <w:tblGrid>
        <w:gridCol w:w="1662"/>
        <w:gridCol w:w="1531"/>
        <w:gridCol w:w="1545"/>
        <w:gridCol w:w="1531"/>
        <w:gridCol w:w="1531"/>
        <w:gridCol w:w="1531"/>
      </w:tblGrid>
      <w:tr>
        <w:tblPrEx>
          <w:tblLayout w:type="fixed"/>
          <w:tblCellMar>
            <w:top w:w="0" w:type="dxa"/>
            <w:left w:w="108" w:type="dxa"/>
            <w:bottom w:w="0" w:type="dxa"/>
            <w:right w:w="108" w:type="dxa"/>
          </w:tblCellMar>
        </w:tblPrEx>
        <w:trPr>
          <w:trHeight w:val="285" w:hRule="atLeast"/>
          <w:tblHeader/>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因素/优劣度</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优</w:t>
            </w:r>
          </w:p>
        </w:tc>
        <w:tc>
          <w:tcPr>
            <w:tcW w:w="154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较优</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一般</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较劣</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劣</w:t>
            </w:r>
          </w:p>
        </w:tc>
      </w:tr>
      <w:tr>
        <w:tblPrEx>
          <w:tblLayout w:type="fixed"/>
          <w:tblCellMar>
            <w:top w:w="0" w:type="dxa"/>
            <w:left w:w="108" w:type="dxa"/>
            <w:bottom w:w="0" w:type="dxa"/>
            <w:right w:w="108" w:type="dxa"/>
          </w:tblCellMar>
        </w:tblPrEx>
        <w:trPr>
          <w:trHeight w:val="135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繁华程度</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距商服中心近、在农贸市场、大型宾馆区范围内，人流畅旺</w:t>
            </w:r>
          </w:p>
        </w:tc>
        <w:tc>
          <w:tcPr>
            <w:tcW w:w="154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距商服中心较近、离集贸市场、宾馆区较近，人流较畅旺</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距商服中心有一定距离，与集贸市场、宾馆距离一般、人流量一般</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距商服中心较远，所在地区商业气氛平淡，人流较少</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距商服中心远，独立、小型、零星的商业用地</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5.0284%</w:t>
            </w:r>
          </w:p>
        </w:tc>
        <w:tc>
          <w:tcPr>
            <w:tcW w:w="154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2.5142%</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0.00%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-2.3945%</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-4.7890%</w:t>
            </w:r>
          </w:p>
        </w:tc>
      </w:tr>
      <w:tr>
        <w:tblPrEx>
          <w:tblLayout w:type="fixed"/>
          <w:tblCellMar>
            <w:top w:w="0" w:type="dxa"/>
            <w:left w:w="108" w:type="dxa"/>
            <w:bottom w:w="0" w:type="dxa"/>
            <w:right w:w="108" w:type="dxa"/>
          </w:tblCellMar>
        </w:tblPrEx>
        <w:trPr>
          <w:trHeight w:val="108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交通条件</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道路通达度高、距长途汽车站近、交通方便</w:t>
            </w:r>
          </w:p>
        </w:tc>
        <w:tc>
          <w:tcPr>
            <w:tcW w:w="154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道路通达度较高、距长途汽车站较近，交通较方便</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道路通达度一般、距长途汽车站距离一般，交通一般</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道路通达度较低、距长途汽车站较远，交通较差</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道路通达度低、距长途汽车站远，交通不方便</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4.5969%</w:t>
            </w:r>
          </w:p>
        </w:tc>
        <w:tc>
          <w:tcPr>
            <w:tcW w:w="154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2.2984%</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0.00%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-2.1890%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-4.3780%</w:t>
            </w:r>
          </w:p>
        </w:tc>
      </w:tr>
      <w:tr>
        <w:tblPrEx>
          <w:tblLayout w:type="fixed"/>
          <w:tblCellMar>
            <w:top w:w="0" w:type="dxa"/>
            <w:left w:w="108" w:type="dxa"/>
            <w:bottom w:w="0" w:type="dxa"/>
            <w:right w:w="108" w:type="dxa"/>
          </w:tblCellMar>
        </w:tblPrEx>
        <w:trPr>
          <w:trHeight w:val="532"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基本设施状况</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市政供水，供电保证率高，排水状况好，周围学校、银行、邮电局（所）、医院等生活设施配套完备</w:t>
            </w:r>
          </w:p>
        </w:tc>
        <w:tc>
          <w:tcPr>
            <w:tcW w:w="154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市政供水，供电保证率较高，排水状况较好，周围学校、银行、邮电局（所）、医院等生活设施配套较完备</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市政供水，供电保证率一般，排水状况一般，周围学校、银行、邮电局（所）、医院等生活设施配套一般</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市政供水，供电保证率较低，排水状况较差，离学校、银行、邮电局（所）、医院等生活设施有一定的距离</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市政供水，供电保证率低，排水状况差，离学校、银行、邮电局（所）、医院较远，生活设施配套不完备</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4.1017%</w:t>
            </w:r>
          </w:p>
        </w:tc>
        <w:tc>
          <w:tcPr>
            <w:tcW w:w="154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2.0509%</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0.00%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-1.9532%</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-3.9064%</w:t>
            </w:r>
          </w:p>
        </w:tc>
      </w:tr>
      <w:tr>
        <w:tblPrEx>
          <w:tblLayout w:type="fixed"/>
          <w:tblCellMar>
            <w:top w:w="0" w:type="dxa"/>
            <w:left w:w="108" w:type="dxa"/>
            <w:bottom w:w="0" w:type="dxa"/>
            <w:right w:w="108" w:type="dxa"/>
          </w:tblCellMar>
        </w:tblPrEx>
        <w:trPr>
          <w:trHeight w:val="66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环境条件</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周围绿化程度高、低噪音、环境优美、无水污染</w:t>
            </w:r>
          </w:p>
        </w:tc>
        <w:tc>
          <w:tcPr>
            <w:tcW w:w="154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周围绿化程度较高、噪音较低、基本无水污染</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周围有一定的绿化、有轻微的噪音污染、水污染</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周围绿化程度较低、噪音污染较大，水污染较严重</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周围绿化程度低或没绿化、噪音大，水污染严重</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2.3023%</w:t>
            </w:r>
          </w:p>
        </w:tc>
        <w:tc>
          <w:tcPr>
            <w:tcW w:w="154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1.1511%</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0.00%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-1.0963%</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-2.1927%</w:t>
            </w:r>
          </w:p>
        </w:tc>
      </w:tr>
      <w:tr>
        <w:tblPrEx>
          <w:tblLayout w:type="fixed"/>
          <w:tblCellMar>
            <w:top w:w="0" w:type="dxa"/>
            <w:left w:w="108" w:type="dxa"/>
            <w:bottom w:w="0" w:type="dxa"/>
            <w:right w:w="108" w:type="dxa"/>
          </w:tblCellMar>
        </w:tblPrEx>
        <w:trPr>
          <w:trHeight w:val="27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人口状况</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人口密度高</w:t>
            </w:r>
          </w:p>
        </w:tc>
        <w:tc>
          <w:tcPr>
            <w:tcW w:w="154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人口密度较高</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人口密度一般</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人口密度较低</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人口密度低</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1.8900%</w:t>
            </w:r>
          </w:p>
        </w:tc>
        <w:tc>
          <w:tcPr>
            <w:tcW w:w="154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0.9450%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0.00%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-0.9000%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-1.8000%</w:t>
            </w:r>
          </w:p>
        </w:tc>
      </w:tr>
      <w:tr>
        <w:tblPrEx>
          <w:tblLayout w:type="fixed"/>
          <w:tblCellMar>
            <w:top w:w="0" w:type="dxa"/>
            <w:left w:w="108" w:type="dxa"/>
            <w:bottom w:w="0" w:type="dxa"/>
            <w:right w:w="108" w:type="dxa"/>
          </w:tblCellMar>
        </w:tblPrEx>
        <w:trPr>
          <w:trHeight w:val="27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用地潜力</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规划前景好</w:t>
            </w:r>
          </w:p>
        </w:tc>
        <w:tc>
          <w:tcPr>
            <w:tcW w:w="154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规划前景较好</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规划前景一般</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规划前景较差</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规划前景差</w:t>
            </w:r>
          </w:p>
        </w:tc>
      </w:tr>
      <w:tr>
        <w:tblPrEx>
          <w:tblLayout w:type="fixed"/>
          <w:tblCellMar>
            <w:top w:w="0" w:type="dxa"/>
            <w:left w:w="108" w:type="dxa"/>
            <w:bottom w:w="0" w:type="dxa"/>
            <w:right w:w="108" w:type="dxa"/>
          </w:tblCellMar>
        </w:tblPrEx>
        <w:trPr>
          <w:trHeight w:val="285"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1.3486%</w:t>
            </w:r>
          </w:p>
        </w:tc>
        <w:tc>
          <w:tcPr>
            <w:tcW w:w="154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0.6743%</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0.00%</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-0.6422%</w:t>
            </w:r>
          </w:p>
        </w:tc>
        <w:tc>
          <w:tcPr>
            <w:tcW w:w="153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-1.2844%</w:t>
            </w:r>
          </w:p>
        </w:tc>
      </w:tr>
    </w:tbl>
    <w:p>
      <w:pPr>
        <w:numPr>
          <w:ilvl w:val="0"/>
          <w:numId w:val="10"/>
        </w:numPr>
        <w:tabs>
          <w:tab w:val="left" w:pos="0"/>
        </w:tabs>
        <w:spacing w:before="72" w:after="72"/>
        <w:ind w:firstLineChars="0"/>
        <w:rPr>
          <w:rFonts w:ascii="仿宋_GB2312" w:hAnsi="仿宋_GB2312" w:eastAsia="仿宋_GB2312" w:cs="仿宋_GB2312"/>
          <w:sz w:val="32"/>
          <w:szCs w:val="32"/>
          <w:lang w:val="zh-CN"/>
        </w:rPr>
      </w:pPr>
      <w:bookmarkStart w:id="124" w:name="_Toc5062049"/>
      <w:r>
        <w:rPr>
          <w:rFonts w:hint="eastAsia" w:ascii="仿宋_GB2312" w:hAnsi="仿宋_GB2312" w:eastAsia="仿宋_GB2312" w:cs="仿宋_GB2312"/>
          <w:sz w:val="32"/>
          <w:szCs w:val="32"/>
          <w:lang w:val="zh-CN"/>
        </w:rPr>
        <w:t>其他个别因素修正系数</w:t>
      </w:r>
      <w:bookmarkEnd w:id="124"/>
    </w:p>
    <w:p>
      <w:pPr>
        <w:adjustRightInd w:val="0"/>
        <w:spacing w:line="600" w:lineRule="exact"/>
        <w:ind w:firstLine="620"/>
        <w:rPr>
          <w:rFonts w:ascii="仿宋_GB2312" w:hAnsi="仿宋_GB2312" w:eastAsia="仿宋_GB2312" w:cs="仿宋_GB2312"/>
          <w:spacing w:val="-5"/>
          <w:kern w:val="0"/>
          <w:sz w:val="32"/>
          <w:szCs w:val="32"/>
          <w:lang w:val="zh-CN"/>
        </w:rPr>
      </w:pPr>
      <w:bookmarkStart w:id="125" w:name="_Toc5062050"/>
      <w:r>
        <w:rPr>
          <w:rFonts w:hint="eastAsia" w:ascii="仿宋_GB2312" w:hAnsi="仿宋_GB2312" w:eastAsia="仿宋_GB2312" w:cs="仿宋_GB2312"/>
          <w:spacing w:val="-5"/>
          <w:kern w:val="0"/>
          <w:sz w:val="32"/>
          <w:szCs w:val="32"/>
          <w:lang w:val="zh-CN"/>
        </w:rPr>
        <w:t>参照城区</w:t>
      </w:r>
      <w:r>
        <w:rPr>
          <w:rFonts w:hint="eastAsia" w:ascii="仿宋_GB2312" w:hAnsi="仿宋_GB2312" w:eastAsia="仿宋_GB2312" w:cs="仿宋_GB2312"/>
          <w:spacing w:val="-5"/>
          <w:kern w:val="0"/>
          <w:sz w:val="32"/>
          <w:szCs w:val="32"/>
        </w:rPr>
        <w:t>公共服务用地</w:t>
      </w:r>
      <w:r>
        <w:rPr>
          <w:rFonts w:hint="eastAsia" w:ascii="仿宋_GB2312" w:hAnsi="仿宋_GB2312" w:eastAsia="仿宋_GB2312" w:cs="仿宋_GB2312"/>
          <w:spacing w:val="-5"/>
          <w:kern w:val="0"/>
          <w:sz w:val="32"/>
          <w:szCs w:val="32"/>
          <w:lang w:val="zh-CN"/>
        </w:rPr>
        <w:t>用地其他个别因素修正系数。</w:t>
      </w:r>
    </w:p>
    <w:p>
      <w:pPr>
        <w:numPr>
          <w:ilvl w:val="0"/>
          <w:numId w:val="10"/>
        </w:numPr>
        <w:tabs>
          <w:tab w:val="left" w:pos="0"/>
        </w:tabs>
        <w:spacing w:before="72" w:after="72"/>
        <w:ind w:firstLineChars="0"/>
        <w:rPr>
          <w:rFonts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土地剩余使用年期修正系数</w:t>
      </w:r>
      <w:bookmarkEnd w:id="125"/>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土地剩余使用年期修正公式为：</w:t>
      </w:r>
    </w:p>
    <w:p>
      <w:pPr>
        <w:spacing w:line="240" w:lineRule="auto"/>
        <w:ind w:firstLine="0" w:firstLineChars="0"/>
        <w:jc w:val="center"/>
        <w:rPr>
          <w:rFonts w:cs="仿宋"/>
          <w:sz w:val="24"/>
          <w:szCs w:val="22"/>
        </w:rPr>
      </w:pPr>
      <w:r>
        <w:rPr>
          <w:rFonts w:hint="eastAsia" w:cs="仿宋"/>
          <w:position w:val="-36"/>
          <w:sz w:val="24"/>
          <w:szCs w:val="22"/>
        </w:rPr>
        <w:object>
          <v:shape id="_x0000_i1065" o:spt="75" type="#_x0000_t75" style="height:41.9pt;width:165.5pt;" o:ole="t" filled="f" o:preferrelative="t" stroked="f" coordsize="21600,21600">
            <v:path/>
            <v:fill on="f" focussize="0,0"/>
            <v:stroke on="f" joinstyle="miter"/>
            <v:imagedata r:id="rId95" o:title=""/>
            <o:lock v:ext="edit" aspectratio="t"/>
            <w10:wrap type="none"/>
            <w10:anchorlock/>
          </v:shape>
          <o:OLEObject Type="Embed" ProgID="Equation.3" ShapeID="_x0000_i1065" DrawAspect="Content" ObjectID="_1468075765" r:id="rId94">
            <o:LockedField>false</o:LockedField>
          </o:OLEObject>
        </w:object>
      </w:r>
    </w:p>
    <w:p>
      <w:pPr>
        <w:rPr>
          <w:rFonts w:ascii="仿宋_GB2312" w:hAnsi="仿宋_GB2312" w:eastAsia="仿宋_GB2312" w:cs="仿宋_GB2312"/>
          <w:sz w:val="24"/>
        </w:rPr>
      </w:pPr>
      <w:r>
        <w:rPr>
          <w:rFonts w:hint="eastAsia" w:ascii="仿宋_GB2312" w:hAnsi="仿宋_GB2312" w:eastAsia="仿宋_GB2312" w:cs="仿宋_GB2312"/>
          <w:sz w:val="24"/>
        </w:rPr>
        <w:t>式中：</w:t>
      </w:r>
      <w:r>
        <w:rPr>
          <w:rFonts w:hint="eastAsia" w:ascii="仿宋_GB2312" w:hAnsi="仿宋_GB2312" w:eastAsia="仿宋_GB2312" w:cs="仿宋_GB2312"/>
          <w:position w:val="-4"/>
          <w:sz w:val="24"/>
        </w:rPr>
        <w:object>
          <v:shape id="_x0000_i1066" o:spt="75" type="#_x0000_t75" style="height:9.65pt;width:8.6pt;" o:ole="t" filled="f" o:preferrelative="t" stroked="f" coordsize="21600,21600">
            <v:path/>
            <v:fill on="f" focussize="0,0"/>
            <v:stroke on="f" joinstyle="miter"/>
            <v:imagedata r:id="rId97" o:title=""/>
            <o:lock v:ext="edit" aspectratio="t"/>
            <w10:wrap type="none"/>
            <w10:anchorlock/>
          </v:shape>
          <o:OLEObject Type="Embed" ProgID="Equation.3" ShapeID="_x0000_i1066" DrawAspect="Content" ObjectID="_1468075766" r:id="rId96">
            <o:LockedField>false</o:LockedField>
          </o:OLEObject>
        </w:object>
      </w:r>
      <w:r>
        <w:rPr>
          <w:rFonts w:hint="eastAsia" w:ascii="仿宋_GB2312" w:hAnsi="仿宋_GB2312" w:eastAsia="仿宋_GB2312" w:cs="仿宋_GB2312"/>
          <w:sz w:val="24"/>
        </w:rPr>
        <w:t>——土地还原率；</w:t>
      </w:r>
      <w:r>
        <w:rPr>
          <w:rFonts w:hint="eastAsia" w:ascii="仿宋_GB2312" w:hAnsi="仿宋_GB2312" w:eastAsia="仿宋_GB2312" w:cs="仿宋_GB2312"/>
          <w:position w:val="-6"/>
          <w:sz w:val="24"/>
        </w:rPr>
        <w:object>
          <v:shape id="_x0000_i1067" o:spt="75" type="#_x0000_t75" style="height:10.75pt;width:12.9pt;" o:ole="t" filled="f" o:preferrelative="t" stroked="f" coordsize="21600,21600">
            <v:path/>
            <v:fill on="f" focussize="0,0"/>
            <v:stroke on="f" joinstyle="miter"/>
            <v:imagedata r:id="rId99" o:title=""/>
            <o:lock v:ext="edit" aspectratio="t"/>
            <w10:wrap type="none"/>
            <w10:anchorlock/>
          </v:shape>
          <o:OLEObject Type="Embed" ProgID="Equation.3" ShapeID="_x0000_i1067" DrawAspect="Content" ObjectID="_1468075767" r:id="rId98">
            <o:LockedField>false</o:LockedField>
          </o:OLEObject>
        </w:object>
      </w:r>
      <w:r>
        <w:rPr>
          <w:rFonts w:hint="eastAsia" w:ascii="仿宋_GB2312" w:hAnsi="仿宋_GB2312" w:eastAsia="仿宋_GB2312" w:cs="仿宋_GB2312"/>
          <w:sz w:val="24"/>
        </w:rPr>
        <w:t>——土地使用权法定最高出让年限50年；</w:t>
      </w:r>
    </w:p>
    <w:p>
      <w:pPr>
        <w:ind w:firstLine="960" w:firstLineChars="400"/>
        <w:rPr>
          <w:rFonts w:ascii="仿宋_GB2312" w:hAnsi="仿宋_GB2312" w:eastAsia="仿宋_GB2312" w:cs="仿宋_GB2312"/>
          <w:sz w:val="24"/>
        </w:rPr>
      </w:pPr>
      <w:r>
        <w:rPr>
          <w:rFonts w:hint="eastAsia" w:ascii="仿宋_GB2312" w:hAnsi="仿宋_GB2312" w:eastAsia="仿宋_GB2312" w:cs="仿宋_GB2312"/>
          <w:position w:val="-6"/>
          <w:sz w:val="24"/>
        </w:rPr>
        <w:object>
          <v:shape id="_x0000_i1068" o:spt="75" type="#_x0000_t75" style="height:10.75pt;width:9.65pt;" o:ole="t" filled="f" o:preferrelative="t" stroked="f" coordsize="21600,21600">
            <v:path/>
            <v:fill on="f" focussize="0,0"/>
            <v:stroke on="f" joinstyle="miter"/>
            <v:imagedata r:id="rId101" o:title=""/>
            <o:lock v:ext="edit" aspectratio="t"/>
            <w10:wrap type="none"/>
            <w10:anchorlock/>
          </v:shape>
          <o:OLEObject Type="Embed" ProgID="Equation.3" ShapeID="_x0000_i1068" DrawAspect="Content" ObjectID="_1468075768" r:id="rId100">
            <o:LockedField>false</o:LockedField>
          </o:OLEObject>
        </w:object>
      </w:r>
      <w:r>
        <w:rPr>
          <w:rFonts w:hint="eastAsia" w:ascii="仿宋_GB2312" w:hAnsi="仿宋_GB2312" w:eastAsia="仿宋_GB2312" w:cs="仿宋_GB2312"/>
          <w:sz w:val="24"/>
        </w:rPr>
        <w:t>——土地剩余使用年期；</w:t>
      </w:r>
      <w:r>
        <w:rPr>
          <w:rFonts w:hint="eastAsia" w:ascii="仿宋_GB2312" w:hAnsi="仿宋_GB2312" w:eastAsia="仿宋_GB2312" w:cs="仿宋_GB2312"/>
          <w:position w:val="-4"/>
          <w:sz w:val="24"/>
        </w:rPr>
        <w:object>
          <v:shape id="_x0000_i1069" o:spt="75" type="#_x0000_t75" style="height:12.9pt;width:10.75pt;" o:ole="t" filled="f" o:preferrelative="t" stroked="f" coordsize="21600,21600">
            <v:path/>
            <v:fill on="f" focussize="0,0"/>
            <v:stroke on="f" joinstyle="miter"/>
            <v:imagedata r:id="rId103" o:title=""/>
            <o:lock v:ext="edit" aspectratio="t"/>
            <w10:wrap type="none"/>
            <w10:anchorlock/>
          </v:shape>
          <o:OLEObject Type="Embed" ProgID="Equation.3" ShapeID="_x0000_i1069" DrawAspect="Content" ObjectID="_1468075769" r:id="rId102">
            <o:LockedField>false</o:LockedField>
          </o:OLEObject>
        </w:object>
      </w:r>
      <w:r>
        <w:rPr>
          <w:rFonts w:hint="eastAsia" w:ascii="仿宋_GB2312" w:hAnsi="仿宋_GB2312" w:eastAsia="仿宋_GB2312" w:cs="仿宋_GB2312"/>
          <w:sz w:val="24"/>
        </w:rPr>
        <w:t>——土地剩余使用年期修正系数。</w:t>
      </w: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乡镇公共服务用地剩余使用年期修正系数（土地还原率4.5%）</w:t>
      </w:r>
    </w:p>
    <w:tbl>
      <w:tblPr>
        <w:tblStyle w:val="47"/>
        <w:tblW w:w="928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804"/>
        <w:gridCol w:w="804"/>
        <w:gridCol w:w="804"/>
        <w:gridCol w:w="804"/>
        <w:gridCol w:w="804"/>
        <w:gridCol w:w="804"/>
        <w:gridCol w:w="804"/>
        <w:gridCol w:w="804"/>
        <w:gridCol w:w="804"/>
        <w:gridCol w:w="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1215" w:type="dxa"/>
            <w:tcBorders>
              <w:top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bookmarkStart w:id="126" w:name="_Toc5062051"/>
            <w:r>
              <w:rPr>
                <w:rFonts w:hint="eastAsia" w:ascii="仿宋_GB2312" w:hAnsi="仿宋_GB2312" w:eastAsia="仿宋_GB2312" w:cs="仿宋_GB2312"/>
                <w:kern w:val="0"/>
                <w:sz w:val="24"/>
              </w:rPr>
              <w:t>剩余年期</w:t>
            </w:r>
          </w:p>
        </w:tc>
        <w:tc>
          <w:tcPr>
            <w:tcW w:w="804" w:type="dxa"/>
            <w:tcBorders>
              <w:top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w:t>
            </w:r>
          </w:p>
        </w:tc>
        <w:tc>
          <w:tcPr>
            <w:tcW w:w="804" w:type="dxa"/>
            <w:tcBorders>
              <w:top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w:t>
            </w:r>
          </w:p>
        </w:tc>
        <w:tc>
          <w:tcPr>
            <w:tcW w:w="804" w:type="dxa"/>
            <w:tcBorders>
              <w:top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w:t>
            </w:r>
          </w:p>
        </w:tc>
        <w:tc>
          <w:tcPr>
            <w:tcW w:w="804" w:type="dxa"/>
            <w:tcBorders>
              <w:top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w:t>
            </w:r>
          </w:p>
        </w:tc>
        <w:tc>
          <w:tcPr>
            <w:tcW w:w="804" w:type="dxa"/>
            <w:tcBorders>
              <w:top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5</w:t>
            </w:r>
          </w:p>
        </w:tc>
        <w:tc>
          <w:tcPr>
            <w:tcW w:w="804" w:type="dxa"/>
            <w:tcBorders>
              <w:top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6</w:t>
            </w:r>
          </w:p>
        </w:tc>
        <w:tc>
          <w:tcPr>
            <w:tcW w:w="804" w:type="dxa"/>
            <w:tcBorders>
              <w:top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7</w:t>
            </w:r>
          </w:p>
        </w:tc>
        <w:tc>
          <w:tcPr>
            <w:tcW w:w="804" w:type="dxa"/>
            <w:tcBorders>
              <w:top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8</w:t>
            </w:r>
          </w:p>
        </w:tc>
        <w:tc>
          <w:tcPr>
            <w:tcW w:w="804" w:type="dxa"/>
            <w:tcBorders>
              <w:top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9</w:t>
            </w:r>
          </w:p>
        </w:tc>
        <w:tc>
          <w:tcPr>
            <w:tcW w:w="835" w:type="dxa"/>
            <w:tcBorders>
              <w:top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1215" w:type="dxa"/>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0.0484</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0.0948</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0.1391</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0.1815</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0.2221</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0.261</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0.2982</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0.3338</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0.3678</w:t>
            </w:r>
          </w:p>
        </w:tc>
        <w:tc>
          <w:tcPr>
            <w:tcW w:w="83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0.4004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1215" w:type="dxa"/>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剩余年期</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11</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12</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13</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14</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15</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16</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17</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18</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19</w:t>
            </w:r>
          </w:p>
        </w:tc>
        <w:tc>
          <w:tcPr>
            <w:tcW w:w="83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1215" w:type="dxa"/>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0.4316</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0.4614</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0.49</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0.5173</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0.5434</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0.5685</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0.5924</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0.6153</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0.6372</w:t>
            </w:r>
          </w:p>
        </w:tc>
        <w:tc>
          <w:tcPr>
            <w:tcW w:w="83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0.6582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1215" w:type="dxa"/>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剩余年期</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21</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22</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23</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24</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25</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26</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27</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28</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29</w:t>
            </w:r>
          </w:p>
        </w:tc>
        <w:tc>
          <w:tcPr>
            <w:tcW w:w="83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1215" w:type="dxa"/>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0.6783</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0.6975</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0.7159</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0.7335</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0.7503</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0.7665</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0.7819</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0.7966</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0.8107</w:t>
            </w:r>
          </w:p>
        </w:tc>
        <w:tc>
          <w:tcPr>
            <w:tcW w:w="83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0.8243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1215" w:type="dxa"/>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剩余年期</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31</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32</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33</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34</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35</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36</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37</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38</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39</w:t>
            </w:r>
          </w:p>
        </w:tc>
        <w:tc>
          <w:tcPr>
            <w:tcW w:w="83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1215" w:type="dxa"/>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0.8372</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0.8496</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0.8614</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0.8727</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0.8836</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0.8939</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0.9039</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0.9134</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0.9225</w:t>
            </w:r>
          </w:p>
        </w:tc>
        <w:tc>
          <w:tcPr>
            <w:tcW w:w="83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0.9312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1215" w:type="dxa"/>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剩余年期</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41</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42</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43</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44</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45</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46</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47</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48</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49</w:t>
            </w:r>
          </w:p>
        </w:tc>
        <w:tc>
          <w:tcPr>
            <w:tcW w:w="83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1215" w:type="dxa"/>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0.9395</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0.9475</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0.9551</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0.9624</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0.9694</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0.976</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0.9824</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0.9885</w:t>
            </w:r>
          </w:p>
        </w:tc>
        <w:tc>
          <w:tcPr>
            <w:tcW w:w="804"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0.9944</w:t>
            </w:r>
          </w:p>
        </w:tc>
        <w:tc>
          <w:tcPr>
            <w:tcW w:w="835"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w:t>
            </w:r>
          </w:p>
        </w:tc>
      </w:tr>
    </w:tbl>
    <w:p>
      <w:pPr>
        <w:numPr>
          <w:ilvl w:val="0"/>
          <w:numId w:val="10"/>
        </w:numPr>
        <w:tabs>
          <w:tab w:val="left" w:pos="0"/>
        </w:tabs>
        <w:spacing w:before="72" w:after="72"/>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lang w:val="zh-CN"/>
        </w:rPr>
        <w:t>土地开发程度修正（同</w:t>
      </w:r>
      <w:r>
        <w:rPr>
          <w:rFonts w:hint="eastAsia" w:ascii="仿宋_GB2312" w:hAnsi="仿宋_GB2312" w:eastAsia="仿宋_GB2312" w:cs="仿宋_GB2312"/>
          <w:sz w:val="32"/>
          <w:szCs w:val="32"/>
        </w:rPr>
        <w:t>乡镇</w:t>
      </w:r>
      <w:r>
        <w:rPr>
          <w:rFonts w:hint="eastAsia" w:ascii="仿宋_GB2312" w:hAnsi="仿宋_GB2312" w:eastAsia="仿宋_GB2312" w:cs="仿宋_GB2312"/>
          <w:sz w:val="32"/>
          <w:szCs w:val="32"/>
          <w:lang w:val="zh-CN"/>
        </w:rPr>
        <w:t>商服用地）</w:t>
      </w:r>
      <w:bookmarkEnd w:id="126"/>
    </w:p>
    <w:p>
      <w:pPr>
        <w:adjustRightInd w:val="0"/>
        <w:spacing w:line="580" w:lineRule="exact"/>
        <w:ind w:firstLine="640"/>
        <w:rPr>
          <w:rFonts w:ascii="楷体_GB2312" w:hAnsi="楷体_GB2312" w:eastAsia="楷体_GB2312" w:cs="楷体_GB2312"/>
          <w:snapToGrid w:val="0"/>
          <w:color w:val="000000"/>
          <w:kern w:val="0"/>
          <w:sz w:val="32"/>
          <w:szCs w:val="32"/>
        </w:rPr>
      </w:pPr>
      <w:bookmarkStart w:id="127" w:name="_Toc6093"/>
      <w:r>
        <w:rPr>
          <w:rFonts w:hint="eastAsia" w:ascii="楷体_GB2312" w:hAnsi="楷体_GB2312" w:eastAsia="楷体_GB2312" w:cs="楷体_GB2312"/>
          <w:snapToGrid w:val="0"/>
          <w:color w:val="000000"/>
          <w:kern w:val="0"/>
          <w:sz w:val="32"/>
          <w:szCs w:val="32"/>
        </w:rPr>
        <w:t>（十）乡镇公用设施用地宗地地价修正体系编制</w:t>
      </w:r>
      <w:bookmarkEnd w:id="127"/>
    </w:p>
    <w:p>
      <w:pPr>
        <w:numPr>
          <w:ilvl w:val="0"/>
          <w:numId w:val="11"/>
        </w:numPr>
        <w:tabs>
          <w:tab w:val="left" w:pos="0"/>
        </w:tabs>
        <w:spacing w:before="72" w:after="72"/>
        <w:ind w:firstLineChars="0"/>
        <w:rPr>
          <w:rFonts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区域因素修正系数</w:t>
      </w:r>
    </w:p>
    <w:p>
      <w:pPr>
        <w:numPr>
          <w:ilvl w:val="0"/>
          <w:numId w:val="1"/>
        </w:numPr>
        <w:tabs>
          <w:tab w:val="left" w:pos="0"/>
        </w:tabs>
        <w:ind w:firstLineChars="0"/>
        <w:jc w:val="center"/>
        <w:rPr>
          <w:rFonts w:ascii="仿宋_GB2312" w:hAnsi="仿宋_GB2312" w:eastAsia="仿宋_GB2312" w:cs="仿宋_GB2312"/>
          <w:sz w:val="32"/>
          <w:szCs w:val="32"/>
          <w:lang w:val="zh-CN"/>
        </w:rPr>
      </w:pPr>
      <w:r>
        <w:rPr>
          <w:rFonts w:hint="eastAsia" w:ascii="仿宋_GB2312" w:hAnsi="仿宋_GB2312" w:eastAsia="仿宋_GB2312" w:cs="仿宋_GB2312"/>
          <w:sz w:val="32"/>
          <w:szCs w:val="32"/>
        </w:rPr>
        <w:t>乡镇公用设施用地区域因素修正系数表</w:t>
      </w:r>
    </w:p>
    <w:tbl>
      <w:tblPr>
        <w:tblStyle w:val="47"/>
        <w:tblW w:w="9280" w:type="dxa"/>
        <w:tblInd w:w="0" w:type="dxa"/>
        <w:tblLayout w:type="fixed"/>
        <w:tblCellMar>
          <w:top w:w="0" w:type="dxa"/>
          <w:left w:w="108" w:type="dxa"/>
          <w:bottom w:w="0" w:type="dxa"/>
          <w:right w:w="108" w:type="dxa"/>
        </w:tblCellMar>
      </w:tblPr>
      <w:tblGrid>
        <w:gridCol w:w="1662"/>
        <w:gridCol w:w="1620"/>
        <w:gridCol w:w="1620"/>
        <w:gridCol w:w="1518"/>
        <w:gridCol w:w="1451"/>
        <w:gridCol w:w="1409"/>
      </w:tblGrid>
      <w:tr>
        <w:tblPrEx>
          <w:tblLayout w:type="fixed"/>
          <w:tblCellMar>
            <w:top w:w="0" w:type="dxa"/>
            <w:left w:w="108" w:type="dxa"/>
            <w:bottom w:w="0" w:type="dxa"/>
            <w:right w:w="108" w:type="dxa"/>
          </w:tblCellMar>
        </w:tblPrEx>
        <w:trPr>
          <w:trHeight w:val="285" w:hRule="atLeast"/>
          <w:tblHeader/>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因素/优劣度</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优</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较优</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一般</w:t>
            </w:r>
          </w:p>
        </w:tc>
        <w:tc>
          <w:tcPr>
            <w:tcW w:w="145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较劣</w:t>
            </w:r>
          </w:p>
        </w:tc>
        <w:tc>
          <w:tcPr>
            <w:tcW w:w="140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劣</w:t>
            </w:r>
          </w:p>
        </w:tc>
      </w:tr>
      <w:tr>
        <w:tblPrEx>
          <w:tblLayout w:type="fixed"/>
          <w:tblCellMar>
            <w:top w:w="0" w:type="dxa"/>
            <w:left w:w="108" w:type="dxa"/>
            <w:bottom w:w="0" w:type="dxa"/>
            <w:right w:w="108" w:type="dxa"/>
          </w:tblCellMar>
        </w:tblPrEx>
        <w:trPr>
          <w:trHeight w:val="312"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交通条件</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道路通达度高，距汽车站、货运站、高速公路出入口近，对外交通便利</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道路通达度较高，距汽车站、货运站、高速公路出入口较近，对外交通较便利</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道路通达度一般，距汽车站、货运站、高速公路出入口一般，对外交通一般</w:t>
            </w:r>
          </w:p>
        </w:tc>
        <w:tc>
          <w:tcPr>
            <w:tcW w:w="145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道路通达度较低，距汽车站、货运站、高速公路出入口较远，对外交通较差</w:t>
            </w:r>
          </w:p>
        </w:tc>
        <w:tc>
          <w:tcPr>
            <w:tcW w:w="140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道路通达度低，距汽车站、货运站、高速公路出入口远，对外交通差</w:t>
            </w:r>
          </w:p>
        </w:tc>
      </w:tr>
      <w:tr>
        <w:tblPrEx>
          <w:tblLayout w:type="fixed"/>
          <w:tblCellMar>
            <w:top w:w="0" w:type="dxa"/>
            <w:left w:w="108" w:type="dxa"/>
            <w:bottom w:w="0" w:type="dxa"/>
            <w:right w:w="108" w:type="dxa"/>
          </w:tblCellMar>
        </w:tblPrEx>
        <w:trPr>
          <w:trHeight w:val="285"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5.7390%</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2.8695%</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0.00%</w:t>
            </w:r>
          </w:p>
        </w:tc>
        <w:tc>
          <w:tcPr>
            <w:tcW w:w="145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-3.0383%</w:t>
            </w:r>
          </w:p>
        </w:tc>
        <w:tc>
          <w:tcPr>
            <w:tcW w:w="140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-6.0766%</w:t>
            </w:r>
          </w:p>
        </w:tc>
      </w:tr>
      <w:tr>
        <w:tblPrEx>
          <w:tblLayout w:type="fixed"/>
          <w:tblCellMar>
            <w:top w:w="0" w:type="dxa"/>
            <w:left w:w="108" w:type="dxa"/>
            <w:bottom w:w="0" w:type="dxa"/>
            <w:right w:w="108" w:type="dxa"/>
          </w:tblCellMar>
        </w:tblPrEx>
        <w:trPr>
          <w:trHeight w:val="253"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基本设施状况</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市政供水，供电保证率高，排水状况好</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市政供水，供电保证率较高，排水状况较好</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市政供水，供电保证率一般，排水状况一般</w:t>
            </w:r>
          </w:p>
        </w:tc>
        <w:tc>
          <w:tcPr>
            <w:tcW w:w="145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市政供水，供电保证率较低，排水状况较差</w:t>
            </w:r>
          </w:p>
        </w:tc>
        <w:tc>
          <w:tcPr>
            <w:tcW w:w="140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市政供水，供电保证率低，排水状况差</w:t>
            </w:r>
          </w:p>
        </w:tc>
      </w:tr>
      <w:tr>
        <w:tblPrEx>
          <w:tblLayout w:type="fixed"/>
          <w:tblCellMar>
            <w:top w:w="0" w:type="dxa"/>
            <w:left w:w="108" w:type="dxa"/>
            <w:bottom w:w="0" w:type="dxa"/>
            <w:right w:w="108" w:type="dxa"/>
          </w:tblCellMar>
        </w:tblPrEx>
        <w:trPr>
          <w:trHeight w:val="285"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5.0836%</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2.5418%</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0.00%</w:t>
            </w:r>
          </w:p>
        </w:tc>
        <w:tc>
          <w:tcPr>
            <w:tcW w:w="145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-2.6913%</w:t>
            </w:r>
          </w:p>
        </w:tc>
        <w:tc>
          <w:tcPr>
            <w:tcW w:w="140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-5.3827%</w:t>
            </w:r>
          </w:p>
        </w:tc>
      </w:tr>
      <w:tr>
        <w:tblPrEx>
          <w:tblLayout w:type="fixed"/>
          <w:tblCellMar>
            <w:top w:w="0" w:type="dxa"/>
            <w:left w:w="108" w:type="dxa"/>
            <w:bottom w:w="0" w:type="dxa"/>
            <w:right w:w="108" w:type="dxa"/>
          </w:tblCellMar>
        </w:tblPrEx>
        <w:trPr>
          <w:trHeight w:val="810"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环境条件</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地形、地貌、地质等情况好</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地形、地貌、地质等情况较好</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地形、地貌、地质等情况一般</w:t>
            </w:r>
          </w:p>
        </w:tc>
        <w:tc>
          <w:tcPr>
            <w:tcW w:w="145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地形、地貌、地质等情况较差</w:t>
            </w:r>
          </w:p>
        </w:tc>
        <w:tc>
          <w:tcPr>
            <w:tcW w:w="140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地形、地貌、地质等情况差</w:t>
            </w:r>
          </w:p>
        </w:tc>
      </w:tr>
      <w:tr>
        <w:tblPrEx>
          <w:tblLayout w:type="fixed"/>
          <w:tblCellMar>
            <w:top w:w="0" w:type="dxa"/>
            <w:left w:w="108" w:type="dxa"/>
            <w:bottom w:w="0" w:type="dxa"/>
            <w:right w:w="108" w:type="dxa"/>
          </w:tblCellMar>
        </w:tblPrEx>
        <w:trPr>
          <w:trHeight w:val="285"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3.7953%</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1.8977%</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0.00%</w:t>
            </w:r>
          </w:p>
        </w:tc>
        <w:tc>
          <w:tcPr>
            <w:tcW w:w="145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-2.0093%</w:t>
            </w:r>
          </w:p>
        </w:tc>
        <w:tc>
          <w:tcPr>
            <w:tcW w:w="140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-4.0186%</w:t>
            </w:r>
          </w:p>
        </w:tc>
      </w:tr>
      <w:tr>
        <w:tblPrEx>
          <w:tblLayout w:type="fixed"/>
          <w:tblCellMar>
            <w:top w:w="0" w:type="dxa"/>
            <w:left w:w="108" w:type="dxa"/>
            <w:bottom w:w="0" w:type="dxa"/>
            <w:right w:w="108" w:type="dxa"/>
          </w:tblCellMar>
        </w:tblPrEx>
        <w:trPr>
          <w:trHeight w:val="540"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人口状况</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人口密度高</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人口密度较高</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人口密度一般</w:t>
            </w:r>
          </w:p>
        </w:tc>
        <w:tc>
          <w:tcPr>
            <w:tcW w:w="145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人口密度较低</w:t>
            </w:r>
          </w:p>
        </w:tc>
        <w:tc>
          <w:tcPr>
            <w:tcW w:w="140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人口密度低</w:t>
            </w:r>
          </w:p>
        </w:tc>
      </w:tr>
      <w:tr>
        <w:tblPrEx>
          <w:tblLayout w:type="fixed"/>
          <w:tblCellMar>
            <w:top w:w="0" w:type="dxa"/>
            <w:left w:w="108" w:type="dxa"/>
            <w:bottom w:w="0" w:type="dxa"/>
            <w:right w:w="108" w:type="dxa"/>
          </w:tblCellMar>
        </w:tblPrEx>
        <w:trPr>
          <w:trHeight w:val="285"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2.9494%</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1.4747%</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0.00%</w:t>
            </w:r>
          </w:p>
        </w:tc>
        <w:tc>
          <w:tcPr>
            <w:tcW w:w="145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-1.5614%</w:t>
            </w:r>
          </w:p>
        </w:tc>
        <w:tc>
          <w:tcPr>
            <w:tcW w:w="140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-3.1229%</w:t>
            </w:r>
          </w:p>
        </w:tc>
      </w:tr>
      <w:tr>
        <w:tblPrEx>
          <w:tblLayout w:type="fixed"/>
          <w:tblCellMar>
            <w:top w:w="0" w:type="dxa"/>
            <w:left w:w="108" w:type="dxa"/>
            <w:bottom w:w="0" w:type="dxa"/>
            <w:right w:w="108" w:type="dxa"/>
          </w:tblCellMar>
        </w:tblPrEx>
        <w:trPr>
          <w:trHeight w:val="540"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城市规划</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规划前景好</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规划前景较好</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规划前景一般</w:t>
            </w:r>
          </w:p>
        </w:tc>
        <w:tc>
          <w:tcPr>
            <w:tcW w:w="145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规划前景较差</w:t>
            </w:r>
          </w:p>
        </w:tc>
        <w:tc>
          <w:tcPr>
            <w:tcW w:w="140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规划前景差</w:t>
            </w:r>
          </w:p>
        </w:tc>
      </w:tr>
      <w:tr>
        <w:tblPrEx>
          <w:tblLayout w:type="fixed"/>
          <w:tblCellMar>
            <w:top w:w="0" w:type="dxa"/>
            <w:left w:w="108" w:type="dxa"/>
            <w:bottom w:w="0" w:type="dxa"/>
            <w:right w:w="108" w:type="dxa"/>
          </w:tblCellMar>
        </w:tblPrEx>
        <w:trPr>
          <w:trHeight w:val="285" w:hRule="atLeast"/>
        </w:trPr>
        <w:tc>
          <w:tcPr>
            <w:tcW w:w="166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修正系数</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2.9125%</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1.4563%</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0.00%</w:t>
            </w:r>
          </w:p>
        </w:tc>
        <w:tc>
          <w:tcPr>
            <w:tcW w:w="1451"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-1.5419%</w:t>
            </w:r>
          </w:p>
        </w:tc>
        <w:tc>
          <w:tcPr>
            <w:tcW w:w="1409"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kern w:val="0"/>
                <w:sz w:val="24"/>
              </w:rPr>
              <w:t>-3.0839%</w:t>
            </w:r>
          </w:p>
        </w:tc>
      </w:tr>
    </w:tbl>
    <w:p>
      <w:pPr>
        <w:numPr>
          <w:ilvl w:val="0"/>
          <w:numId w:val="11"/>
        </w:numPr>
        <w:tabs>
          <w:tab w:val="left" w:pos="0"/>
        </w:tabs>
        <w:spacing w:before="72" w:after="72"/>
        <w:ind w:firstLineChars="0"/>
        <w:rPr>
          <w:rFonts w:ascii="仿宋_GB2312" w:hAnsi="仿宋_GB2312" w:eastAsia="仿宋_GB2312" w:cs="仿宋_GB2312"/>
          <w:sz w:val="32"/>
          <w:szCs w:val="32"/>
          <w:lang w:val="zh-CN"/>
        </w:rPr>
      </w:pPr>
      <w:bookmarkStart w:id="128" w:name="_Toc5062055"/>
      <w:r>
        <w:rPr>
          <w:rFonts w:hint="eastAsia" w:ascii="仿宋_GB2312" w:hAnsi="仿宋_GB2312" w:eastAsia="仿宋_GB2312" w:cs="仿宋_GB2312"/>
          <w:sz w:val="32"/>
          <w:szCs w:val="32"/>
          <w:lang w:val="zh-CN"/>
        </w:rPr>
        <w:t>其他个别因素修正系数</w:t>
      </w:r>
      <w:bookmarkEnd w:id="128"/>
    </w:p>
    <w:p>
      <w:pPr>
        <w:adjustRightInd w:val="0"/>
        <w:spacing w:line="600" w:lineRule="exact"/>
        <w:ind w:firstLine="620"/>
        <w:rPr>
          <w:rFonts w:ascii="仿宋_GB2312" w:hAnsi="仿宋_GB2312" w:eastAsia="仿宋_GB2312" w:cs="仿宋_GB2312"/>
          <w:spacing w:val="-5"/>
          <w:kern w:val="0"/>
          <w:sz w:val="32"/>
          <w:szCs w:val="32"/>
          <w:lang w:val="zh-CN"/>
        </w:rPr>
      </w:pPr>
      <w:bookmarkStart w:id="129" w:name="_Toc5062056"/>
      <w:r>
        <w:rPr>
          <w:rFonts w:hint="eastAsia" w:ascii="仿宋_GB2312" w:hAnsi="仿宋_GB2312" w:eastAsia="仿宋_GB2312" w:cs="仿宋_GB2312"/>
          <w:spacing w:val="-5"/>
          <w:kern w:val="0"/>
          <w:sz w:val="32"/>
          <w:szCs w:val="32"/>
          <w:lang w:val="zh-CN"/>
        </w:rPr>
        <w:t>参照城区</w:t>
      </w:r>
      <w:r>
        <w:rPr>
          <w:rFonts w:hint="eastAsia" w:ascii="仿宋_GB2312" w:hAnsi="仿宋_GB2312" w:eastAsia="仿宋_GB2312" w:cs="仿宋_GB2312"/>
          <w:spacing w:val="-5"/>
          <w:kern w:val="0"/>
          <w:sz w:val="32"/>
          <w:szCs w:val="32"/>
        </w:rPr>
        <w:t>公用设施用地</w:t>
      </w:r>
      <w:r>
        <w:rPr>
          <w:rFonts w:hint="eastAsia" w:ascii="仿宋_GB2312" w:hAnsi="仿宋_GB2312" w:eastAsia="仿宋_GB2312" w:cs="仿宋_GB2312"/>
          <w:spacing w:val="-5"/>
          <w:kern w:val="0"/>
          <w:sz w:val="32"/>
          <w:szCs w:val="32"/>
          <w:lang w:val="zh-CN"/>
        </w:rPr>
        <w:t>其他个别因素修正系数。</w:t>
      </w:r>
    </w:p>
    <w:p>
      <w:pPr>
        <w:numPr>
          <w:ilvl w:val="0"/>
          <w:numId w:val="11"/>
        </w:numPr>
        <w:tabs>
          <w:tab w:val="left" w:pos="0"/>
        </w:tabs>
        <w:spacing w:before="72" w:after="72"/>
        <w:ind w:firstLineChars="0"/>
        <w:rPr>
          <w:rFonts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土地剩余使用年期修正系数</w:t>
      </w:r>
      <w:bookmarkEnd w:id="129"/>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土地剩余使用年期修正公式为：</w:t>
      </w:r>
    </w:p>
    <w:p>
      <w:pPr>
        <w:spacing w:before="72" w:after="72" w:line="300" w:lineRule="auto"/>
        <w:jc w:val="center"/>
        <w:rPr>
          <w:rFonts w:cs="仿宋"/>
          <w:sz w:val="24"/>
        </w:rPr>
      </w:pPr>
      <w:r>
        <w:rPr>
          <w:rFonts w:hint="eastAsia" w:cs="仿宋"/>
          <w:position w:val="-36"/>
          <w:sz w:val="24"/>
          <w:szCs w:val="22"/>
        </w:rPr>
        <w:object>
          <v:shape id="_x0000_i1070" o:spt="75" type="#_x0000_t75" style="height:41.9pt;width:165.5pt;" o:ole="t" filled="f" o:preferrelative="t" stroked="f" coordsize="21600,21600">
            <v:path/>
            <v:fill on="f" focussize="0,0"/>
            <v:stroke on="f" joinstyle="miter"/>
            <v:imagedata r:id="rId105" o:title=""/>
            <o:lock v:ext="edit" aspectratio="t"/>
            <w10:wrap type="none"/>
            <w10:anchorlock/>
          </v:shape>
          <o:OLEObject Type="Embed" ProgID="Equation.3" ShapeID="_x0000_i1070" DrawAspect="Content" ObjectID="_1468075770" r:id="rId104">
            <o:LockedField>false</o:LockedField>
          </o:OLEObject>
        </w:object>
      </w:r>
    </w:p>
    <w:p>
      <w:pPr>
        <w:rPr>
          <w:rFonts w:ascii="仿宋_GB2312" w:hAnsi="仿宋_GB2312" w:eastAsia="仿宋_GB2312" w:cs="仿宋_GB2312"/>
          <w:sz w:val="24"/>
          <w:szCs w:val="22"/>
        </w:rPr>
      </w:pPr>
      <w:r>
        <w:rPr>
          <w:rFonts w:hint="eastAsia" w:ascii="仿宋_GB2312" w:hAnsi="仿宋_GB2312" w:eastAsia="仿宋_GB2312" w:cs="仿宋_GB2312"/>
          <w:sz w:val="24"/>
          <w:szCs w:val="22"/>
        </w:rPr>
        <w:t>式中：</w:t>
      </w:r>
      <w:r>
        <w:rPr>
          <w:rFonts w:hint="eastAsia" w:ascii="仿宋_GB2312" w:hAnsi="仿宋_GB2312" w:eastAsia="仿宋_GB2312" w:cs="仿宋_GB2312"/>
          <w:position w:val="-4"/>
          <w:sz w:val="24"/>
          <w:szCs w:val="22"/>
        </w:rPr>
        <w:object>
          <v:shape id="_x0000_i1071" o:spt="75" type="#_x0000_t75" style="height:9.65pt;width:8.6pt;" o:ole="t" filled="f" o:preferrelative="t" stroked="f" coordsize="21600,21600">
            <v:path/>
            <v:fill on="f" focussize="0,0"/>
            <v:stroke on="f" joinstyle="miter"/>
            <v:imagedata r:id="rId97" o:title=""/>
            <o:lock v:ext="edit" aspectratio="t"/>
            <w10:wrap type="none"/>
            <w10:anchorlock/>
          </v:shape>
          <o:OLEObject Type="Embed" ProgID="Equation.3" ShapeID="_x0000_i1071" DrawAspect="Content" ObjectID="_1468075771" r:id="rId106">
            <o:LockedField>false</o:LockedField>
          </o:OLEObject>
        </w:object>
      </w:r>
      <w:r>
        <w:rPr>
          <w:rFonts w:hint="eastAsia" w:ascii="仿宋_GB2312" w:hAnsi="仿宋_GB2312" w:eastAsia="仿宋_GB2312" w:cs="仿宋_GB2312"/>
          <w:sz w:val="24"/>
          <w:szCs w:val="22"/>
        </w:rPr>
        <w:t>——土地还原率；</w:t>
      </w:r>
      <w:r>
        <w:rPr>
          <w:rFonts w:hint="eastAsia" w:ascii="仿宋_GB2312" w:hAnsi="仿宋_GB2312" w:eastAsia="仿宋_GB2312" w:cs="仿宋_GB2312"/>
          <w:position w:val="-6"/>
          <w:sz w:val="24"/>
          <w:szCs w:val="22"/>
        </w:rPr>
        <w:object>
          <v:shape id="_x0000_i1072" o:spt="75" type="#_x0000_t75" style="height:10.75pt;width:12.9pt;" o:ole="t" filled="f" o:preferrelative="t" stroked="f" coordsize="21600,21600">
            <v:path/>
            <v:fill on="f" focussize="0,0"/>
            <v:stroke on="f" joinstyle="miter"/>
            <v:imagedata r:id="rId99" o:title=""/>
            <o:lock v:ext="edit" aspectratio="t"/>
            <w10:wrap type="none"/>
            <w10:anchorlock/>
          </v:shape>
          <o:OLEObject Type="Embed" ProgID="Equation.3" ShapeID="_x0000_i1072" DrawAspect="Content" ObjectID="_1468075772" r:id="rId107">
            <o:LockedField>false</o:LockedField>
          </o:OLEObject>
        </w:object>
      </w:r>
      <w:r>
        <w:rPr>
          <w:rFonts w:hint="eastAsia" w:ascii="仿宋_GB2312" w:hAnsi="仿宋_GB2312" w:eastAsia="仿宋_GB2312" w:cs="仿宋_GB2312"/>
          <w:sz w:val="24"/>
          <w:szCs w:val="22"/>
        </w:rPr>
        <w:t>——土地使用权法定最高出让年限50年；</w:t>
      </w:r>
    </w:p>
    <w:p>
      <w:pPr>
        <w:spacing w:before="72" w:after="72" w:line="300" w:lineRule="auto"/>
        <w:ind w:firstLine="1200" w:firstLineChars="500"/>
        <w:rPr>
          <w:rFonts w:ascii="仿宋_GB2312" w:hAnsi="仿宋_GB2312" w:eastAsia="仿宋_GB2312" w:cs="仿宋_GB2312"/>
          <w:sz w:val="24"/>
          <w:szCs w:val="22"/>
        </w:rPr>
      </w:pPr>
      <w:r>
        <w:rPr>
          <w:rFonts w:hint="eastAsia" w:ascii="仿宋_GB2312" w:hAnsi="仿宋_GB2312" w:eastAsia="仿宋_GB2312" w:cs="仿宋_GB2312"/>
          <w:position w:val="-6"/>
          <w:sz w:val="24"/>
          <w:szCs w:val="22"/>
        </w:rPr>
        <w:object>
          <v:shape id="_x0000_i1073" o:spt="75" type="#_x0000_t75" style="height:10.75pt;width:9.65pt;" o:ole="t" filled="f" o:preferrelative="t" stroked="f" coordsize="21600,21600">
            <v:path/>
            <v:fill on="f" focussize="0,0"/>
            <v:stroke on="f" joinstyle="miter"/>
            <v:imagedata r:id="rId101" o:title=""/>
            <o:lock v:ext="edit" aspectratio="t"/>
            <w10:wrap type="none"/>
            <w10:anchorlock/>
          </v:shape>
          <o:OLEObject Type="Embed" ProgID="Equation.3" ShapeID="_x0000_i1073" DrawAspect="Content" ObjectID="_1468075773" r:id="rId108">
            <o:LockedField>false</o:LockedField>
          </o:OLEObject>
        </w:object>
      </w:r>
      <w:r>
        <w:rPr>
          <w:rFonts w:hint="eastAsia" w:ascii="仿宋_GB2312" w:hAnsi="仿宋_GB2312" w:eastAsia="仿宋_GB2312" w:cs="仿宋_GB2312"/>
          <w:sz w:val="24"/>
          <w:szCs w:val="22"/>
        </w:rPr>
        <w:t>——土地剩余使用年期；</w:t>
      </w:r>
      <w:r>
        <w:rPr>
          <w:rFonts w:hint="eastAsia" w:ascii="仿宋_GB2312" w:hAnsi="仿宋_GB2312" w:eastAsia="仿宋_GB2312" w:cs="仿宋_GB2312"/>
          <w:position w:val="-4"/>
          <w:sz w:val="24"/>
          <w:szCs w:val="22"/>
        </w:rPr>
        <w:object>
          <v:shape id="_x0000_i1074" o:spt="75" type="#_x0000_t75" style="height:12.9pt;width:10.75pt;" o:ole="t" filled="f" o:preferrelative="t" stroked="f" coordsize="21600,21600">
            <v:path/>
            <v:fill on="f" focussize="0,0"/>
            <v:stroke on="f" joinstyle="miter"/>
            <v:imagedata r:id="rId103" o:title=""/>
            <o:lock v:ext="edit" aspectratio="t"/>
            <w10:wrap type="none"/>
            <w10:anchorlock/>
          </v:shape>
          <o:OLEObject Type="Embed" ProgID="Equation.3" ShapeID="_x0000_i1074" DrawAspect="Content" ObjectID="_1468075774" r:id="rId109">
            <o:LockedField>false</o:LockedField>
          </o:OLEObject>
        </w:object>
      </w:r>
      <w:r>
        <w:rPr>
          <w:rFonts w:hint="eastAsia" w:ascii="仿宋_GB2312" w:hAnsi="仿宋_GB2312" w:eastAsia="仿宋_GB2312" w:cs="仿宋_GB2312"/>
          <w:sz w:val="24"/>
          <w:szCs w:val="22"/>
        </w:rPr>
        <w:t>——土地剩余使用年期修正系数。</w:t>
      </w: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乡镇公用设施用地剩余使用年期修正系数（土地还原率3.5%）</w:t>
      </w:r>
    </w:p>
    <w:tbl>
      <w:tblPr>
        <w:tblStyle w:val="47"/>
        <w:tblW w:w="928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3"/>
        <w:gridCol w:w="808"/>
        <w:gridCol w:w="808"/>
        <w:gridCol w:w="808"/>
        <w:gridCol w:w="808"/>
        <w:gridCol w:w="808"/>
        <w:gridCol w:w="808"/>
        <w:gridCol w:w="808"/>
        <w:gridCol w:w="808"/>
        <w:gridCol w:w="808"/>
        <w:gridCol w:w="8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jc w:val="center"/>
        </w:trPr>
        <w:tc>
          <w:tcPr>
            <w:tcW w:w="1193" w:type="dxa"/>
            <w:tcBorders>
              <w:top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剩余年期</w:t>
            </w:r>
          </w:p>
        </w:tc>
        <w:tc>
          <w:tcPr>
            <w:tcW w:w="808" w:type="dxa"/>
            <w:tcBorders>
              <w:top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w:t>
            </w:r>
          </w:p>
        </w:tc>
        <w:tc>
          <w:tcPr>
            <w:tcW w:w="808" w:type="dxa"/>
            <w:tcBorders>
              <w:top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w:t>
            </w:r>
          </w:p>
        </w:tc>
        <w:tc>
          <w:tcPr>
            <w:tcW w:w="808" w:type="dxa"/>
            <w:tcBorders>
              <w:top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w:t>
            </w:r>
          </w:p>
        </w:tc>
        <w:tc>
          <w:tcPr>
            <w:tcW w:w="808" w:type="dxa"/>
            <w:tcBorders>
              <w:top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w:t>
            </w:r>
          </w:p>
        </w:tc>
        <w:tc>
          <w:tcPr>
            <w:tcW w:w="808" w:type="dxa"/>
            <w:tcBorders>
              <w:top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5</w:t>
            </w:r>
          </w:p>
        </w:tc>
        <w:tc>
          <w:tcPr>
            <w:tcW w:w="808" w:type="dxa"/>
            <w:tcBorders>
              <w:top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6</w:t>
            </w:r>
          </w:p>
        </w:tc>
        <w:tc>
          <w:tcPr>
            <w:tcW w:w="808" w:type="dxa"/>
            <w:tcBorders>
              <w:top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7</w:t>
            </w:r>
          </w:p>
        </w:tc>
        <w:tc>
          <w:tcPr>
            <w:tcW w:w="808" w:type="dxa"/>
            <w:tcBorders>
              <w:top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8</w:t>
            </w:r>
          </w:p>
        </w:tc>
        <w:tc>
          <w:tcPr>
            <w:tcW w:w="808" w:type="dxa"/>
            <w:tcBorders>
              <w:top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9</w:t>
            </w:r>
          </w:p>
        </w:tc>
        <w:tc>
          <w:tcPr>
            <w:tcW w:w="821" w:type="dxa"/>
            <w:tcBorders>
              <w:top w:val="single" w:color="auto" w:sz="4" w:space="0"/>
            </w:tcBorders>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jc w:val="center"/>
        </w:trPr>
        <w:tc>
          <w:tcPr>
            <w:tcW w:w="1193" w:type="dxa"/>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0.0412</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0.081</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0.1194</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0.1566</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0.1925</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0.2272</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0.2607</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0.2931</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0.3243</w:t>
            </w:r>
          </w:p>
        </w:tc>
        <w:tc>
          <w:tcPr>
            <w:tcW w:w="821"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0.3546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jc w:val="center"/>
        </w:trPr>
        <w:tc>
          <w:tcPr>
            <w:tcW w:w="1193" w:type="dxa"/>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剩余年期</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11</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12</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13</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14</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15</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16</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17</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18</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19</w:t>
            </w:r>
          </w:p>
        </w:tc>
        <w:tc>
          <w:tcPr>
            <w:tcW w:w="821"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jc w:val="center"/>
        </w:trPr>
        <w:tc>
          <w:tcPr>
            <w:tcW w:w="1193" w:type="dxa"/>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0.3838</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0.412</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0.4392</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0.4656</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0.491</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0.5156</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0.5394</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0.5623</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0.5845</w:t>
            </w:r>
          </w:p>
        </w:tc>
        <w:tc>
          <w:tcPr>
            <w:tcW w:w="821"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0.6059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jc w:val="center"/>
        </w:trPr>
        <w:tc>
          <w:tcPr>
            <w:tcW w:w="1193" w:type="dxa"/>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剩余年期</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21</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22</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23</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24</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25</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26</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27</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28</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29</w:t>
            </w:r>
          </w:p>
        </w:tc>
        <w:tc>
          <w:tcPr>
            <w:tcW w:w="821"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jc w:val="center"/>
        </w:trPr>
        <w:tc>
          <w:tcPr>
            <w:tcW w:w="1193" w:type="dxa"/>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0.6266</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0.6466</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0.666</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0.6846</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0.7027</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0.7201</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0.7369</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0.7532</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0.7689</w:t>
            </w:r>
          </w:p>
        </w:tc>
        <w:tc>
          <w:tcPr>
            <w:tcW w:w="821"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0.7841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jc w:val="center"/>
        </w:trPr>
        <w:tc>
          <w:tcPr>
            <w:tcW w:w="1193" w:type="dxa"/>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剩余年期</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31</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32</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33</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34</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35</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36</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37</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38</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39</w:t>
            </w:r>
          </w:p>
        </w:tc>
        <w:tc>
          <w:tcPr>
            <w:tcW w:w="821"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jc w:val="center"/>
        </w:trPr>
        <w:tc>
          <w:tcPr>
            <w:tcW w:w="1193" w:type="dxa"/>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0.7988</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0.813</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0.8267</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0.8399</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0.8527</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0.8651</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0.877</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0.8885</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0.8997</w:t>
            </w:r>
          </w:p>
        </w:tc>
        <w:tc>
          <w:tcPr>
            <w:tcW w:w="821"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0.9104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jc w:val="center"/>
        </w:trPr>
        <w:tc>
          <w:tcPr>
            <w:tcW w:w="1193" w:type="dxa"/>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剩余年期</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41</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42</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43</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44</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45</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46</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47</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48</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49</w:t>
            </w:r>
          </w:p>
        </w:tc>
        <w:tc>
          <w:tcPr>
            <w:tcW w:w="821"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8" w:hRule="atLeast"/>
          <w:jc w:val="center"/>
        </w:trPr>
        <w:tc>
          <w:tcPr>
            <w:tcW w:w="1193" w:type="dxa"/>
            <w:shd w:val="clear" w:color="000000" w:fill="FFFFFF"/>
            <w:vAlign w:val="center"/>
          </w:tcPr>
          <w:p>
            <w:pPr>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0.9208</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0.9309</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0.9406</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0.95</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0.9591</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0.9678</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0.9763</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0.9845</w:t>
            </w:r>
          </w:p>
        </w:tc>
        <w:tc>
          <w:tcPr>
            <w:tcW w:w="808"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0.9924</w:t>
            </w:r>
          </w:p>
        </w:tc>
        <w:tc>
          <w:tcPr>
            <w:tcW w:w="821" w:type="dxa"/>
            <w:shd w:val="clear" w:color="000000" w:fill="FFFFFF"/>
            <w:vAlign w:val="center"/>
          </w:tcPr>
          <w:p>
            <w:pPr>
              <w:spacing w:line="240" w:lineRule="auto"/>
              <w:ind w:firstLine="0" w:firstLineChars="0"/>
              <w:jc w:val="center"/>
              <w:rPr>
                <w:rFonts w:ascii="仿宋_GB2312" w:hAnsi="仿宋_GB2312" w:eastAsia="仿宋_GB2312" w:cs="仿宋_GB2312"/>
                <w:spacing w:val="-20"/>
                <w:w w:val="90"/>
                <w:kern w:val="0"/>
                <w:sz w:val="24"/>
              </w:rPr>
            </w:pPr>
            <w:r>
              <w:rPr>
                <w:rFonts w:hint="eastAsia" w:ascii="仿宋_GB2312" w:hAnsi="仿宋_GB2312" w:eastAsia="仿宋_GB2312" w:cs="仿宋_GB2312"/>
                <w:spacing w:val="-20"/>
                <w:w w:val="90"/>
                <w:kern w:val="0"/>
                <w:sz w:val="24"/>
              </w:rPr>
              <w:t>1</w:t>
            </w:r>
          </w:p>
        </w:tc>
      </w:tr>
    </w:tbl>
    <w:p>
      <w:pPr>
        <w:numPr>
          <w:ilvl w:val="0"/>
          <w:numId w:val="11"/>
        </w:numPr>
        <w:tabs>
          <w:tab w:val="left" w:pos="0"/>
        </w:tabs>
        <w:spacing w:before="72" w:after="72"/>
        <w:ind w:firstLineChars="0"/>
        <w:rPr>
          <w:rFonts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土地开发程度修正（同</w:t>
      </w:r>
      <w:r>
        <w:rPr>
          <w:rFonts w:hint="eastAsia" w:ascii="仿宋_GB2312" w:hAnsi="仿宋_GB2312" w:eastAsia="仿宋_GB2312" w:cs="仿宋_GB2312"/>
          <w:sz w:val="32"/>
          <w:szCs w:val="32"/>
        </w:rPr>
        <w:t>乡镇工业</w:t>
      </w:r>
      <w:r>
        <w:rPr>
          <w:rFonts w:hint="eastAsia" w:ascii="仿宋_GB2312" w:hAnsi="仿宋_GB2312" w:eastAsia="仿宋_GB2312" w:cs="仿宋_GB2312"/>
          <w:sz w:val="32"/>
          <w:szCs w:val="32"/>
          <w:lang w:val="zh-CN"/>
        </w:rPr>
        <w:t>用地）</w:t>
      </w:r>
    </w:p>
    <w:bookmarkEnd w:id="104"/>
    <w:p>
      <w:pPr>
        <w:ind w:firstLine="560"/>
        <w:jc w:val="left"/>
        <w:rPr>
          <w:lang w:val="zh-CN"/>
        </w:rPr>
        <w:sectPr>
          <w:pgSz w:w="11906" w:h="16838"/>
          <w:pgMar w:top="1588" w:right="1418" w:bottom="1588" w:left="1418" w:header="851" w:footer="992" w:gutter="0"/>
          <w:pgNumType w:fmt="numberInDash"/>
          <w:cols w:space="720" w:num="1"/>
          <w:docGrid w:linePitch="312" w:charSpace="0"/>
        </w:sectPr>
      </w:pPr>
    </w:p>
    <w:p>
      <w:pPr>
        <w:autoSpaceDE/>
        <w:autoSpaceDN/>
        <w:spacing w:line="580" w:lineRule="exact"/>
        <w:ind w:firstLine="640"/>
        <w:rPr>
          <w:rFonts w:ascii="黑体" w:hAnsi="黑体" w:eastAsia="黑体" w:cs="黑体"/>
          <w:snapToGrid w:val="0"/>
          <w:kern w:val="2"/>
          <w:sz w:val="32"/>
          <w:szCs w:val="32"/>
        </w:rPr>
      </w:pPr>
      <w:bookmarkStart w:id="130" w:name="_Toc18009"/>
      <w:bookmarkStart w:id="131" w:name="_Toc11387"/>
      <w:r>
        <w:rPr>
          <w:rFonts w:hint="eastAsia" w:ascii="黑体" w:hAnsi="黑体" w:eastAsia="黑体" w:cs="黑体"/>
          <w:snapToGrid w:val="0"/>
          <w:kern w:val="2"/>
          <w:sz w:val="32"/>
          <w:szCs w:val="32"/>
        </w:rPr>
        <w:t>五、二级用地类型修正</w:t>
      </w:r>
      <w:bookmarkEnd w:id="130"/>
      <w:bookmarkEnd w:id="131"/>
      <w:r>
        <w:rPr>
          <w:rFonts w:hint="eastAsia" w:ascii="黑体" w:hAnsi="黑体" w:eastAsia="黑体" w:cs="黑体"/>
          <w:snapToGrid w:val="0"/>
          <w:kern w:val="2"/>
          <w:sz w:val="32"/>
          <w:szCs w:val="32"/>
        </w:rPr>
        <w:t>系数</w:t>
      </w:r>
    </w:p>
    <w:p>
      <w:pPr>
        <w:numPr>
          <w:ilvl w:val="0"/>
          <w:numId w:val="1"/>
        </w:numPr>
        <w:tabs>
          <w:tab w:val="left" w:pos="0"/>
        </w:tabs>
        <w:ind w:firstLineChars="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二级用地类型地价修正系数表</w:t>
      </w:r>
    </w:p>
    <w:tbl>
      <w:tblPr>
        <w:tblStyle w:val="47"/>
        <w:tblW w:w="13454" w:type="dxa"/>
        <w:jc w:val="center"/>
        <w:tblInd w:w="0" w:type="dxa"/>
        <w:tblLayout w:type="fixed"/>
        <w:tblCellMar>
          <w:top w:w="0" w:type="dxa"/>
          <w:left w:w="108" w:type="dxa"/>
          <w:bottom w:w="0" w:type="dxa"/>
          <w:right w:w="108" w:type="dxa"/>
        </w:tblCellMar>
      </w:tblPr>
      <w:tblGrid>
        <w:gridCol w:w="696"/>
        <w:gridCol w:w="1628"/>
        <w:gridCol w:w="4738"/>
        <w:gridCol w:w="1830"/>
        <w:gridCol w:w="1822"/>
        <w:gridCol w:w="1265"/>
        <w:gridCol w:w="1475"/>
      </w:tblGrid>
      <w:tr>
        <w:tblPrEx>
          <w:tblLayout w:type="fixed"/>
          <w:tblCellMar>
            <w:top w:w="0" w:type="dxa"/>
            <w:left w:w="108" w:type="dxa"/>
            <w:bottom w:w="0" w:type="dxa"/>
            <w:right w:w="108" w:type="dxa"/>
          </w:tblCellMar>
        </w:tblPrEx>
        <w:trPr>
          <w:cantSplit/>
          <w:trHeight w:val="686" w:hRule="atLeast"/>
          <w:tblHeader/>
          <w:jc w:val="center"/>
        </w:trPr>
        <w:tc>
          <w:tcPr>
            <w:tcW w:w="696"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类型</w:t>
            </w:r>
          </w:p>
        </w:tc>
        <w:tc>
          <w:tcPr>
            <w:tcW w:w="1628" w:type="dxa"/>
            <w:tcBorders>
              <w:top w:val="single" w:color="auto" w:sz="4" w:space="0"/>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基本类型</w:t>
            </w:r>
          </w:p>
        </w:tc>
        <w:tc>
          <w:tcPr>
            <w:tcW w:w="4738" w:type="dxa"/>
            <w:tcBorders>
              <w:top w:val="single" w:color="auto" w:sz="4" w:space="0"/>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含  义</w:t>
            </w:r>
          </w:p>
        </w:tc>
        <w:tc>
          <w:tcPr>
            <w:tcW w:w="1830" w:type="dxa"/>
            <w:tcBorders>
              <w:top w:val="single" w:color="auto" w:sz="4" w:space="0"/>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对应的《土地利用现状分类》</w:t>
            </w:r>
          </w:p>
        </w:tc>
        <w:tc>
          <w:tcPr>
            <w:tcW w:w="1822" w:type="dxa"/>
            <w:tcBorders>
              <w:top w:val="single" w:color="auto" w:sz="4" w:space="0"/>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对应的《用地用海分类》</w:t>
            </w:r>
          </w:p>
        </w:tc>
        <w:tc>
          <w:tcPr>
            <w:tcW w:w="1265" w:type="dxa"/>
            <w:tcBorders>
              <w:top w:val="single" w:color="auto" w:sz="4" w:space="0"/>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修正基数</w:t>
            </w:r>
          </w:p>
        </w:tc>
        <w:tc>
          <w:tcPr>
            <w:tcW w:w="1475" w:type="dxa"/>
            <w:tcBorders>
              <w:top w:val="single" w:color="auto" w:sz="4" w:space="0"/>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修正系数</w:t>
            </w:r>
          </w:p>
        </w:tc>
      </w:tr>
      <w:tr>
        <w:tblPrEx>
          <w:tblLayout w:type="fixed"/>
          <w:tblCellMar>
            <w:top w:w="0" w:type="dxa"/>
            <w:left w:w="108" w:type="dxa"/>
            <w:bottom w:w="0" w:type="dxa"/>
            <w:right w:w="108" w:type="dxa"/>
          </w:tblCellMar>
        </w:tblPrEx>
        <w:trPr>
          <w:cantSplit/>
          <w:trHeight w:val="686" w:hRule="atLeast"/>
          <w:jc w:val="center"/>
        </w:trPr>
        <w:tc>
          <w:tcPr>
            <w:tcW w:w="696" w:type="dxa"/>
            <w:vMerge w:val="restart"/>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商服用地</w:t>
            </w:r>
          </w:p>
        </w:tc>
        <w:tc>
          <w:tcPr>
            <w:tcW w:w="1628" w:type="dxa"/>
            <w:vMerge w:val="restart"/>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零售商业用地</w:t>
            </w:r>
          </w:p>
        </w:tc>
        <w:tc>
          <w:tcPr>
            <w:tcW w:w="4738" w:type="dxa"/>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指以零售功能为主的商铺、商场、超市、市场等的用地。</w:t>
            </w:r>
          </w:p>
        </w:tc>
        <w:tc>
          <w:tcPr>
            <w:tcW w:w="1830" w:type="dxa"/>
            <w:vMerge w:val="restart"/>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零售商业用地(0501)</w:t>
            </w:r>
          </w:p>
        </w:tc>
        <w:tc>
          <w:tcPr>
            <w:tcW w:w="1822"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零售商业用地（090101）</w:t>
            </w:r>
          </w:p>
        </w:tc>
        <w:tc>
          <w:tcPr>
            <w:tcW w:w="1265"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商服用地</w:t>
            </w:r>
          </w:p>
        </w:tc>
        <w:tc>
          <w:tcPr>
            <w:tcW w:w="1475"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1.0</w:t>
            </w:r>
          </w:p>
        </w:tc>
      </w:tr>
      <w:tr>
        <w:tblPrEx>
          <w:tblLayout w:type="fixed"/>
          <w:tblCellMar>
            <w:top w:w="0" w:type="dxa"/>
            <w:left w:w="108" w:type="dxa"/>
            <w:bottom w:w="0" w:type="dxa"/>
            <w:right w:w="108" w:type="dxa"/>
          </w:tblCellMar>
        </w:tblPrEx>
        <w:trPr>
          <w:cantSplit/>
          <w:trHeight w:val="686" w:hRule="atLeast"/>
          <w:jc w:val="center"/>
        </w:trPr>
        <w:tc>
          <w:tcPr>
            <w:tcW w:w="696"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628"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4738" w:type="dxa"/>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指主要用于加油、加气站、充换电站及其附属的小型仓库、车间、办公场地等用地。</w:t>
            </w:r>
          </w:p>
        </w:tc>
        <w:tc>
          <w:tcPr>
            <w:tcW w:w="1830"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822"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公用设施营业网点用地（090105）</w:t>
            </w:r>
          </w:p>
        </w:tc>
        <w:tc>
          <w:tcPr>
            <w:tcW w:w="1265"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商服用地</w:t>
            </w:r>
          </w:p>
        </w:tc>
        <w:tc>
          <w:tcPr>
            <w:tcW w:w="1475"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2.0</w:t>
            </w:r>
          </w:p>
        </w:tc>
      </w:tr>
      <w:tr>
        <w:tblPrEx>
          <w:tblLayout w:type="fixed"/>
          <w:tblCellMar>
            <w:top w:w="0" w:type="dxa"/>
            <w:left w:w="108" w:type="dxa"/>
            <w:bottom w:w="0" w:type="dxa"/>
            <w:right w:w="108" w:type="dxa"/>
          </w:tblCellMar>
        </w:tblPrEx>
        <w:trPr>
          <w:cantSplit/>
          <w:trHeight w:val="686" w:hRule="atLeast"/>
          <w:jc w:val="center"/>
        </w:trPr>
        <w:tc>
          <w:tcPr>
            <w:tcW w:w="696"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628"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批发市场用地</w:t>
            </w:r>
          </w:p>
        </w:tc>
        <w:tc>
          <w:tcPr>
            <w:tcW w:w="4738"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以批发功能为主的市场用地</w:t>
            </w:r>
          </w:p>
        </w:tc>
        <w:tc>
          <w:tcPr>
            <w:tcW w:w="1830"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批发市场用地(0502)</w:t>
            </w:r>
          </w:p>
        </w:tc>
        <w:tc>
          <w:tcPr>
            <w:tcW w:w="1822"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批发市场用地（090102）</w:t>
            </w:r>
          </w:p>
        </w:tc>
        <w:tc>
          <w:tcPr>
            <w:tcW w:w="1265"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商服用地</w:t>
            </w:r>
          </w:p>
        </w:tc>
        <w:tc>
          <w:tcPr>
            <w:tcW w:w="1475"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1.0</w:t>
            </w:r>
          </w:p>
        </w:tc>
      </w:tr>
      <w:tr>
        <w:tblPrEx>
          <w:tblLayout w:type="fixed"/>
          <w:tblCellMar>
            <w:top w:w="0" w:type="dxa"/>
            <w:left w:w="108" w:type="dxa"/>
            <w:bottom w:w="0" w:type="dxa"/>
            <w:right w:w="108" w:type="dxa"/>
          </w:tblCellMar>
        </w:tblPrEx>
        <w:trPr>
          <w:cantSplit/>
          <w:trHeight w:val="686" w:hRule="atLeast"/>
          <w:jc w:val="center"/>
        </w:trPr>
        <w:tc>
          <w:tcPr>
            <w:tcW w:w="696"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628"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餐饮用地</w:t>
            </w:r>
          </w:p>
        </w:tc>
        <w:tc>
          <w:tcPr>
            <w:tcW w:w="4738"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饭店、餐厅、酒吧等用地</w:t>
            </w:r>
          </w:p>
        </w:tc>
        <w:tc>
          <w:tcPr>
            <w:tcW w:w="1830"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餐饮用地（0503）</w:t>
            </w:r>
          </w:p>
        </w:tc>
        <w:tc>
          <w:tcPr>
            <w:tcW w:w="1822"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餐饮用地（090103）</w:t>
            </w:r>
          </w:p>
        </w:tc>
        <w:tc>
          <w:tcPr>
            <w:tcW w:w="1265"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商服用地</w:t>
            </w:r>
          </w:p>
        </w:tc>
        <w:tc>
          <w:tcPr>
            <w:tcW w:w="1475"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w:t>
            </w:r>
          </w:p>
        </w:tc>
      </w:tr>
      <w:tr>
        <w:tblPrEx>
          <w:tblLayout w:type="fixed"/>
          <w:tblCellMar>
            <w:top w:w="0" w:type="dxa"/>
            <w:left w:w="108" w:type="dxa"/>
            <w:bottom w:w="0" w:type="dxa"/>
            <w:right w:w="108" w:type="dxa"/>
          </w:tblCellMar>
        </w:tblPrEx>
        <w:trPr>
          <w:cantSplit/>
          <w:trHeight w:val="686" w:hRule="atLeast"/>
          <w:jc w:val="center"/>
        </w:trPr>
        <w:tc>
          <w:tcPr>
            <w:tcW w:w="696"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628"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旅馆用地</w:t>
            </w:r>
          </w:p>
        </w:tc>
        <w:tc>
          <w:tcPr>
            <w:tcW w:w="4738"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宾馆、旅馆、招待所、服务型公寓、度假村等用地</w:t>
            </w:r>
          </w:p>
        </w:tc>
        <w:tc>
          <w:tcPr>
            <w:tcW w:w="1830"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旅馆用地（0504）</w:t>
            </w:r>
          </w:p>
        </w:tc>
        <w:tc>
          <w:tcPr>
            <w:tcW w:w="1822"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旅馆用地（090104）</w:t>
            </w:r>
          </w:p>
        </w:tc>
        <w:tc>
          <w:tcPr>
            <w:tcW w:w="1265"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商服用地</w:t>
            </w:r>
          </w:p>
        </w:tc>
        <w:tc>
          <w:tcPr>
            <w:tcW w:w="1475"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w:t>
            </w:r>
          </w:p>
        </w:tc>
      </w:tr>
      <w:tr>
        <w:tblPrEx>
          <w:tblLayout w:type="fixed"/>
          <w:tblCellMar>
            <w:top w:w="0" w:type="dxa"/>
            <w:left w:w="108" w:type="dxa"/>
            <w:bottom w:w="0" w:type="dxa"/>
            <w:right w:w="108" w:type="dxa"/>
          </w:tblCellMar>
        </w:tblPrEx>
        <w:trPr>
          <w:cantSplit/>
          <w:trHeight w:val="686" w:hRule="atLeast"/>
          <w:jc w:val="center"/>
        </w:trPr>
        <w:tc>
          <w:tcPr>
            <w:tcW w:w="696"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628" w:type="dxa"/>
            <w:vMerge w:val="restart"/>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商务金融用地</w:t>
            </w:r>
          </w:p>
        </w:tc>
        <w:tc>
          <w:tcPr>
            <w:tcW w:w="4738" w:type="dxa"/>
            <w:vMerge w:val="restart"/>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指商务服务用地，以及经营性的办公场所用地。包括写字楼、商服性办公场所、金融活动场所和企业厂区外独立的办公场所；信息网络服务、信息技术服务、电子商务服务、广告传媒等用地</w:t>
            </w:r>
          </w:p>
        </w:tc>
        <w:tc>
          <w:tcPr>
            <w:tcW w:w="1830" w:type="dxa"/>
            <w:vMerge w:val="restart"/>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商务金融用地（0505）</w:t>
            </w:r>
          </w:p>
        </w:tc>
        <w:tc>
          <w:tcPr>
            <w:tcW w:w="1822" w:type="dxa"/>
            <w:vMerge w:val="restart"/>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商务金融用地（0902）</w:t>
            </w:r>
          </w:p>
        </w:tc>
        <w:tc>
          <w:tcPr>
            <w:tcW w:w="1265" w:type="dxa"/>
            <w:vMerge w:val="restart"/>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商服用地</w:t>
            </w:r>
          </w:p>
        </w:tc>
        <w:tc>
          <w:tcPr>
            <w:tcW w:w="1475" w:type="dxa"/>
            <w:vMerge w:val="restart"/>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w:t>
            </w:r>
          </w:p>
        </w:tc>
      </w:tr>
      <w:tr>
        <w:tblPrEx>
          <w:tblLayout w:type="fixed"/>
          <w:tblCellMar>
            <w:top w:w="0" w:type="dxa"/>
            <w:left w:w="108" w:type="dxa"/>
            <w:bottom w:w="0" w:type="dxa"/>
            <w:right w:w="108" w:type="dxa"/>
          </w:tblCellMar>
        </w:tblPrEx>
        <w:trPr>
          <w:cantSplit/>
          <w:trHeight w:val="686" w:hRule="atLeast"/>
          <w:jc w:val="center"/>
        </w:trPr>
        <w:tc>
          <w:tcPr>
            <w:tcW w:w="696"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628"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4738"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830"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822"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265"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475"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r>
      <w:tr>
        <w:tblPrEx>
          <w:tblLayout w:type="fixed"/>
          <w:tblCellMar>
            <w:top w:w="0" w:type="dxa"/>
            <w:left w:w="108" w:type="dxa"/>
            <w:bottom w:w="0" w:type="dxa"/>
            <w:right w:w="108" w:type="dxa"/>
          </w:tblCellMar>
        </w:tblPrEx>
        <w:trPr>
          <w:cantSplit/>
          <w:trHeight w:val="686" w:hRule="atLeast"/>
          <w:jc w:val="center"/>
        </w:trPr>
        <w:tc>
          <w:tcPr>
            <w:tcW w:w="696"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628"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娱乐用地</w:t>
            </w:r>
          </w:p>
        </w:tc>
        <w:tc>
          <w:tcPr>
            <w:tcW w:w="4738"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指剧院、音乐厅、电影院、歌舞厅、网吧、影视城、仿古城以及绿地率小于65%的大型游乐等设施用地</w:t>
            </w:r>
          </w:p>
        </w:tc>
        <w:tc>
          <w:tcPr>
            <w:tcW w:w="1830"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娱乐用地（0506）</w:t>
            </w:r>
          </w:p>
        </w:tc>
        <w:tc>
          <w:tcPr>
            <w:tcW w:w="1822"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娱乐用地（0903）</w:t>
            </w:r>
          </w:p>
        </w:tc>
        <w:tc>
          <w:tcPr>
            <w:tcW w:w="1265"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商服用地</w:t>
            </w:r>
          </w:p>
        </w:tc>
        <w:tc>
          <w:tcPr>
            <w:tcW w:w="1475"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0.7</w:t>
            </w:r>
          </w:p>
        </w:tc>
      </w:tr>
      <w:tr>
        <w:tblPrEx>
          <w:tblLayout w:type="fixed"/>
          <w:tblCellMar>
            <w:top w:w="0" w:type="dxa"/>
            <w:left w:w="108" w:type="dxa"/>
            <w:bottom w:w="0" w:type="dxa"/>
            <w:right w:w="108" w:type="dxa"/>
          </w:tblCellMar>
        </w:tblPrEx>
        <w:trPr>
          <w:cantSplit/>
          <w:trHeight w:val="1798" w:hRule="atLeast"/>
          <w:jc w:val="center"/>
        </w:trPr>
        <w:tc>
          <w:tcPr>
            <w:tcW w:w="696"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628" w:type="dxa"/>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其他商服用地</w:t>
            </w:r>
          </w:p>
        </w:tc>
        <w:tc>
          <w:tcPr>
            <w:tcW w:w="4738" w:type="dxa"/>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零售商服、批发市场、餐饮、旅馆、商务金融、娱乐用地以外的其他商业、服务业用地。包括洗车场、洗染店、照相馆、理发美容店、洗浴场所、赛马场、高尔夫球场、废旧物资回收站、机动车、电子产品和日用产品维修网点、物流营业网点，居住小区及小区级以下的配套服务设施等用地</w:t>
            </w:r>
          </w:p>
        </w:tc>
        <w:tc>
          <w:tcPr>
            <w:tcW w:w="1830" w:type="dxa"/>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其他商服用地（0507）</w:t>
            </w:r>
          </w:p>
        </w:tc>
        <w:tc>
          <w:tcPr>
            <w:tcW w:w="1822" w:type="dxa"/>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其他商业服务业用地（0904）</w:t>
            </w:r>
          </w:p>
        </w:tc>
        <w:tc>
          <w:tcPr>
            <w:tcW w:w="1265" w:type="dxa"/>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商服用地</w:t>
            </w:r>
          </w:p>
        </w:tc>
        <w:tc>
          <w:tcPr>
            <w:tcW w:w="1475"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w:t>
            </w:r>
          </w:p>
        </w:tc>
      </w:tr>
      <w:tr>
        <w:tblPrEx>
          <w:tblLayout w:type="fixed"/>
          <w:tblCellMar>
            <w:top w:w="0" w:type="dxa"/>
            <w:left w:w="108" w:type="dxa"/>
            <w:bottom w:w="0" w:type="dxa"/>
            <w:right w:w="108" w:type="dxa"/>
          </w:tblCellMar>
        </w:tblPrEx>
        <w:trPr>
          <w:cantSplit/>
          <w:trHeight w:val="686" w:hRule="atLeast"/>
          <w:jc w:val="center"/>
        </w:trPr>
        <w:tc>
          <w:tcPr>
            <w:tcW w:w="696" w:type="dxa"/>
            <w:vMerge w:val="restart"/>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住宅用地</w:t>
            </w:r>
          </w:p>
        </w:tc>
        <w:tc>
          <w:tcPr>
            <w:tcW w:w="1628" w:type="dxa"/>
            <w:vMerge w:val="restart"/>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城镇住宅用地</w:t>
            </w:r>
          </w:p>
        </w:tc>
        <w:tc>
          <w:tcPr>
            <w:tcW w:w="4738" w:type="dxa"/>
            <w:vMerge w:val="restart"/>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指城镇用于生活居住的各类房屋用地及其附属设施用地，不含配套的商服服务设施等用地。</w:t>
            </w:r>
          </w:p>
        </w:tc>
        <w:tc>
          <w:tcPr>
            <w:tcW w:w="1830" w:type="dxa"/>
            <w:vMerge w:val="restart"/>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城镇住宅用地(0701)</w:t>
            </w:r>
          </w:p>
        </w:tc>
        <w:tc>
          <w:tcPr>
            <w:tcW w:w="1822"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二类城镇住宅用地（070102）</w:t>
            </w:r>
          </w:p>
        </w:tc>
        <w:tc>
          <w:tcPr>
            <w:tcW w:w="1265"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住宅用地</w:t>
            </w:r>
          </w:p>
        </w:tc>
        <w:tc>
          <w:tcPr>
            <w:tcW w:w="1475"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1.0</w:t>
            </w:r>
          </w:p>
        </w:tc>
      </w:tr>
      <w:tr>
        <w:tblPrEx>
          <w:tblLayout w:type="fixed"/>
          <w:tblCellMar>
            <w:top w:w="0" w:type="dxa"/>
            <w:left w:w="108" w:type="dxa"/>
            <w:bottom w:w="0" w:type="dxa"/>
            <w:right w:w="108" w:type="dxa"/>
          </w:tblCellMar>
        </w:tblPrEx>
        <w:trPr>
          <w:cantSplit/>
          <w:trHeight w:val="686" w:hRule="atLeast"/>
          <w:jc w:val="center"/>
        </w:trPr>
        <w:tc>
          <w:tcPr>
            <w:tcW w:w="696"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628"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4738"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830"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822"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三类城镇住宅用地（070103）</w:t>
            </w:r>
          </w:p>
        </w:tc>
        <w:tc>
          <w:tcPr>
            <w:tcW w:w="1265"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住宅用地</w:t>
            </w:r>
          </w:p>
        </w:tc>
        <w:tc>
          <w:tcPr>
            <w:tcW w:w="1475"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1.0</w:t>
            </w:r>
          </w:p>
        </w:tc>
      </w:tr>
      <w:tr>
        <w:tblPrEx>
          <w:tblLayout w:type="fixed"/>
          <w:tblCellMar>
            <w:top w:w="0" w:type="dxa"/>
            <w:left w:w="108" w:type="dxa"/>
            <w:bottom w:w="0" w:type="dxa"/>
            <w:right w:w="108" w:type="dxa"/>
          </w:tblCellMar>
        </w:tblPrEx>
        <w:trPr>
          <w:cantSplit/>
          <w:trHeight w:val="686" w:hRule="atLeast"/>
          <w:jc w:val="center"/>
        </w:trPr>
        <w:tc>
          <w:tcPr>
            <w:tcW w:w="696"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628"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一类城镇住宅用地</w:t>
            </w:r>
          </w:p>
        </w:tc>
        <w:tc>
          <w:tcPr>
            <w:tcW w:w="4738"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指配套设施齐全、环境良好，以三层及以下低密度高档住宅为主的住宅建筑用地及其附属道路、附属绿地、停车场等用地（不含自建房）</w:t>
            </w:r>
          </w:p>
        </w:tc>
        <w:tc>
          <w:tcPr>
            <w:tcW w:w="1830"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城镇住宅用地（0701）</w:t>
            </w:r>
          </w:p>
        </w:tc>
        <w:tc>
          <w:tcPr>
            <w:tcW w:w="1822"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一类城镇住宅用地（070101）</w:t>
            </w:r>
          </w:p>
        </w:tc>
        <w:tc>
          <w:tcPr>
            <w:tcW w:w="1265"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住宅用地</w:t>
            </w:r>
          </w:p>
        </w:tc>
        <w:tc>
          <w:tcPr>
            <w:tcW w:w="1475"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2.0</w:t>
            </w:r>
          </w:p>
        </w:tc>
      </w:tr>
      <w:tr>
        <w:tblPrEx>
          <w:tblLayout w:type="fixed"/>
          <w:tblCellMar>
            <w:top w:w="0" w:type="dxa"/>
            <w:left w:w="108" w:type="dxa"/>
            <w:bottom w:w="0" w:type="dxa"/>
            <w:right w:w="108" w:type="dxa"/>
          </w:tblCellMar>
        </w:tblPrEx>
        <w:trPr>
          <w:cantSplit/>
          <w:trHeight w:val="686" w:hRule="atLeast"/>
          <w:jc w:val="center"/>
        </w:trPr>
        <w:tc>
          <w:tcPr>
            <w:tcW w:w="696" w:type="dxa"/>
            <w:vMerge w:val="restart"/>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工业用地</w:t>
            </w:r>
          </w:p>
        </w:tc>
        <w:tc>
          <w:tcPr>
            <w:tcW w:w="162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工业用地</w:t>
            </w:r>
          </w:p>
        </w:tc>
        <w:tc>
          <w:tcPr>
            <w:tcW w:w="473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指工业生产、产品加工制造、机械和设备维修及直接为工业生产等服务的附属设施用地。</w:t>
            </w:r>
          </w:p>
        </w:tc>
        <w:tc>
          <w:tcPr>
            <w:tcW w:w="1830"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工业用地</w:t>
            </w:r>
          </w:p>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（0601）</w:t>
            </w:r>
          </w:p>
        </w:tc>
        <w:tc>
          <w:tcPr>
            <w:tcW w:w="182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工业用地</w:t>
            </w:r>
          </w:p>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（1001）</w:t>
            </w:r>
          </w:p>
        </w:tc>
        <w:tc>
          <w:tcPr>
            <w:tcW w:w="126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工业用地</w:t>
            </w:r>
          </w:p>
        </w:tc>
        <w:tc>
          <w:tcPr>
            <w:tcW w:w="147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w:t>
            </w:r>
          </w:p>
        </w:tc>
      </w:tr>
      <w:tr>
        <w:tblPrEx>
          <w:tblLayout w:type="fixed"/>
          <w:tblCellMar>
            <w:top w:w="0" w:type="dxa"/>
            <w:left w:w="108" w:type="dxa"/>
            <w:bottom w:w="0" w:type="dxa"/>
            <w:right w:w="108" w:type="dxa"/>
          </w:tblCellMar>
        </w:tblPrEx>
        <w:trPr>
          <w:cantSplit/>
          <w:trHeight w:val="686" w:hRule="atLeast"/>
          <w:jc w:val="center"/>
        </w:trPr>
        <w:tc>
          <w:tcPr>
            <w:tcW w:w="696" w:type="dxa"/>
            <w:vMerge w:val="continue"/>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62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采矿用地</w:t>
            </w:r>
          </w:p>
        </w:tc>
        <w:tc>
          <w:tcPr>
            <w:tcW w:w="473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指采矿、采石、采砂（沙）场，砖瓦窑等地面生产用地，排土（石）及尾矿堆放地。</w:t>
            </w:r>
          </w:p>
        </w:tc>
        <w:tc>
          <w:tcPr>
            <w:tcW w:w="1830"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采矿用地</w:t>
            </w:r>
          </w:p>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（0602）</w:t>
            </w:r>
          </w:p>
        </w:tc>
        <w:tc>
          <w:tcPr>
            <w:tcW w:w="182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采矿用地</w:t>
            </w:r>
          </w:p>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（1002）</w:t>
            </w:r>
          </w:p>
        </w:tc>
        <w:tc>
          <w:tcPr>
            <w:tcW w:w="126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工业用地</w:t>
            </w:r>
          </w:p>
        </w:tc>
        <w:tc>
          <w:tcPr>
            <w:tcW w:w="147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0.85</w:t>
            </w:r>
          </w:p>
        </w:tc>
      </w:tr>
      <w:tr>
        <w:tblPrEx>
          <w:tblLayout w:type="fixed"/>
          <w:tblCellMar>
            <w:top w:w="0" w:type="dxa"/>
            <w:left w:w="108" w:type="dxa"/>
            <w:bottom w:w="0" w:type="dxa"/>
            <w:right w:w="108" w:type="dxa"/>
          </w:tblCellMar>
        </w:tblPrEx>
        <w:trPr>
          <w:cantSplit/>
          <w:trHeight w:val="686" w:hRule="atLeast"/>
          <w:jc w:val="center"/>
        </w:trPr>
        <w:tc>
          <w:tcPr>
            <w:tcW w:w="696" w:type="dxa"/>
            <w:vMerge w:val="continue"/>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62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仓储用地</w:t>
            </w:r>
          </w:p>
        </w:tc>
        <w:tc>
          <w:tcPr>
            <w:tcW w:w="473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指用于物资储备、中转的场所用地，包括物流仓储设施、配送中心、转运中心等。</w:t>
            </w:r>
          </w:p>
        </w:tc>
        <w:tc>
          <w:tcPr>
            <w:tcW w:w="1830"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仓储用地</w:t>
            </w:r>
          </w:p>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（0604）</w:t>
            </w:r>
          </w:p>
        </w:tc>
        <w:tc>
          <w:tcPr>
            <w:tcW w:w="1822" w:type="dxa"/>
            <w:tcBorders>
              <w:top w:val="single" w:color="auto" w:sz="4" w:space="0"/>
              <w:left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仓储用地</w:t>
            </w:r>
          </w:p>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（11）</w:t>
            </w:r>
          </w:p>
        </w:tc>
        <w:tc>
          <w:tcPr>
            <w:tcW w:w="126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工业用地</w:t>
            </w:r>
          </w:p>
        </w:tc>
        <w:tc>
          <w:tcPr>
            <w:tcW w:w="147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w:t>
            </w:r>
          </w:p>
        </w:tc>
      </w:tr>
      <w:tr>
        <w:tblPrEx>
          <w:tblLayout w:type="fixed"/>
          <w:tblCellMar>
            <w:top w:w="0" w:type="dxa"/>
            <w:left w:w="108" w:type="dxa"/>
            <w:bottom w:w="0" w:type="dxa"/>
            <w:right w:w="108" w:type="dxa"/>
          </w:tblCellMar>
        </w:tblPrEx>
        <w:trPr>
          <w:cantSplit/>
          <w:trHeight w:val="686" w:hRule="atLeast"/>
          <w:jc w:val="center"/>
        </w:trPr>
        <w:tc>
          <w:tcPr>
            <w:tcW w:w="696" w:type="dxa"/>
            <w:vMerge w:val="restart"/>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公共管理与公共服务用地</w:t>
            </w:r>
          </w:p>
        </w:tc>
        <w:tc>
          <w:tcPr>
            <w:tcW w:w="1628" w:type="dxa"/>
            <w:tcBorders>
              <w:top w:val="single" w:color="auto" w:sz="4" w:space="0"/>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机关团体用地</w:t>
            </w:r>
          </w:p>
        </w:tc>
        <w:tc>
          <w:tcPr>
            <w:tcW w:w="4738" w:type="dxa"/>
            <w:tcBorders>
              <w:top w:val="single" w:color="auto" w:sz="4" w:space="0"/>
              <w:left w:val="nil"/>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指用于党政机关、社会团体、群众自治组织等的用地</w:t>
            </w:r>
          </w:p>
        </w:tc>
        <w:tc>
          <w:tcPr>
            <w:tcW w:w="1830" w:type="dxa"/>
            <w:tcBorders>
              <w:top w:val="single" w:color="auto" w:sz="4" w:space="0"/>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机关团体用地（0801）</w:t>
            </w:r>
          </w:p>
        </w:tc>
        <w:tc>
          <w:tcPr>
            <w:tcW w:w="1822" w:type="dxa"/>
            <w:tcBorders>
              <w:top w:val="single" w:color="auto" w:sz="4" w:space="0"/>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机关团体用地（0801）</w:t>
            </w:r>
          </w:p>
        </w:tc>
        <w:tc>
          <w:tcPr>
            <w:tcW w:w="1265" w:type="dxa"/>
            <w:tcBorders>
              <w:top w:val="single" w:color="auto" w:sz="4" w:space="0"/>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公共服务用地</w:t>
            </w:r>
          </w:p>
        </w:tc>
        <w:tc>
          <w:tcPr>
            <w:tcW w:w="1475" w:type="dxa"/>
            <w:tcBorders>
              <w:top w:val="single" w:color="auto" w:sz="4" w:space="0"/>
              <w:left w:val="nil"/>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1.0</w:t>
            </w:r>
          </w:p>
        </w:tc>
      </w:tr>
      <w:tr>
        <w:tblPrEx>
          <w:tblLayout w:type="fixed"/>
          <w:tblCellMar>
            <w:top w:w="0" w:type="dxa"/>
            <w:left w:w="108" w:type="dxa"/>
            <w:bottom w:w="0" w:type="dxa"/>
            <w:right w:w="108" w:type="dxa"/>
          </w:tblCellMar>
        </w:tblPrEx>
        <w:trPr>
          <w:cantSplit/>
          <w:trHeight w:val="686" w:hRule="atLeast"/>
          <w:jc w:val="center"/>
        </w:trPr>
        <w:tc>
          <w:tcPr>
            <w:tcW w:w="696"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628"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新闻出版用地</w:t>
            </w:r>
          </w:p>
        </w:tc>
        <w:tc>
          <w:tcPr>
            <w:tcW w:w="4738"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指用于广播电台、电视台、电影厂、报社、杂志社、通讯社、出版社等的用地。</w:t>
            </w:r>
          </w:p>
        </w:tc>
        <w:tc>
          <w:tcPr>
            <w:tcW w:w="1830"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新闻出版用地（0802）</w:t>
            </w:r>
          </w:p>
        </w:tc>
        <w:tc>
          <w:tcPr>
            <w:tcW w:w="1822"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1265"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公共服务用地</w:t>
            </w:r>
          </w:p>
        </w:tc>
        <w:tc>
          <w:tcPr>
            <w:tcW w:w="1475"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1.0</w:t>
            </w:r>
          </w:p>
        </w:tc>
      </w:tr>
      <w:tr>
        <w:tblPrEx>
          <w:tblLayout w:type="fixed"/>
          <w:tblCellMar>
            <w:top w:w="0" w:type="dxa"/>
            <w:left w:w="108" w:type="dxa"/>
            <w:bottom w:w="0" w:type="dxa"/>
            <w:right w:w="108" w:type="dxa"/>
          </w:tblCellMar>
        </w:tblPrEx>
        <w:trPr>
          <w:cantSplit/>
          <w:trHeight w:val="1409" w:hRule="atLeast"/>
          <w:jc w:val="center"/>
        </w:trPr>
        <w:tc>
          <w:tcPr>
            <w:tcW w:w="696"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62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教育用地</w:t>
            </w:r>
          </w:p>
        </w:tc>
        <w:tc>
          <w:tcPr>
            <w:tcW w:w="4738"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指用于各类教育用地，包括高等院校、中等专业学校、中学、小学、幼儿园及其附属设施用地，聋、哑、盲人学校及工读学校用地，以及为学校配建的独立地段的学生生活用地。</w:t>
            </w:r>
          </w:p>
        </w:tc>
        <w:tc>
          <w:tcPr>
            <w:tcW w:w="1830"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教育用地(803)</w:t>
            </w:r>
          </w:p>
        </w:tc>
        <w:tc>
          <w:tcPr>
            <w:tcW w:w="1822"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教育用地（0804）</w:t>
            </w:r>
          </w:p>
        </w:tc>
        <w:tc>
          <w:tcPr>
            <w:tcW w:w="126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公共服务用地</w:t>
            </w:r>
          </w:p>
        </w:tc>
        <w:tc>
          <w:tcPr>
            <w:tcW w:w="147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1.0</w:t>
            </w:r>
          </w:p>
        </w:tc>
      </w:tr>
      <w:tr>
        <w:tblPrEx>
          <w:tblLayout w:type="fixed"/>
          <w:tblCellMar>
            <w:top w:w="0" w:type="dxa"/>
            <w:left w:w="108" w:type="dxa"/>
            <w:bottom w:w="0" w:type="dxa"/>
            <w:right w:w="108" w:type="dxa"/>
          </w:tblCellMar>
        </w:tblPrEx>
        <w:trPr>
          <w:cantSplit/>
          <w:trHeight w:val="686" w:hRule="atLeast"/>
          <w:jc w:val="center"/>
        </w:trPr>
        <w:tc>
          <w:tcPr>
            <w:tcW w:w="696"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628" w:type="dxa"/>
            <w:tcBorders>
              <w:top w:val="single" w:color="auto" w:sz="4" w:space="0"/>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科研用地</w:t>
            </w:r>
          </w:p>
        </w:tc>
        <w:tc>
          <w:tcPr>
            <w:tcW w:w="4738" w:type="dxa"/>
            <w:tcBorders>
              <w:top w:val="single" w:color="auto" w:sz="4" w:space="0"/>
              <w:left w:val="nil"/>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指用于独立的科研、勘测、研发、设计、检验检测、技术推广、环境评估与监测、科普等科研事业单位及其附属设施用地。</w:t>
            </w:r>
          </w:p>
        </w:tc>
        <w:tc>
          <w:tcPr>
            <w:tcW w:w="1830" w:type="dxa"/>
            <w:tcBorders>
              <w:top w:val="single" w:color="auto" w:sz="4" w:space="0"/>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科研用地（0804）</w:t>
            </w:r>
          </w:p>
        </w:tc>
        <w:tc>
          <w:tcPr>
            <w:tcW w:w="1822" w:type="dxa"/>
            <w:tcBorders>
              <w:top w:val="single" w:color="auto" w:sz="4" w:space="0"/>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科研用地（0802）</w:t>
            </w:r>
          </w:p>
        </w:tc>
        <w:tc>
          <w:tcPr>
            <w:tcW w:w="1265" w:type="dxa"/>
            <w:tcBorders>
              <w:top w:val="single" w:color="auto" w:sz="4" w:space="0"/>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公共服务用地</w:t>
            </w:r>
          </w:p>
        </w:tc>
        <w:tc>
          <w:tcPr>
            <w:tcW w:w="1475" w:type="dxa"/>
            <w:tcBorders>
              <w:top w:val="single" w:color="auto" w:sz="4" w:space="0"/>
              <w:left w:val="nil"/>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1.0</w:t>
            </w:r>
          </w:p>
        </w:tc>
      </w:tr>
      <w:tr>
        <w:tblPrEx>
          <w:tblLayout w:type="fixed"/>
          <w:tblCellMar>
            <w:top w:w="0" w:type="dxa"/>
            <w:left w:w="108" w:type="dxa"/>
            <w:bottom w:w="0" w:type="dxa"/>
            <w:right w:w="108" w:type="dxa"/>
          </w:tblCellMar>
        </w:tblPrEx>
        <w:trPr>
          <w:cantSplit/>
          <w:trHeight w:val="686" w:hRule="atLeast"/>
          <w:jc w:val="center"/>
        </w:trPr>
        <w:tc>
          <w:tcPr>
            <w:tcW w:w="696"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628"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医疗卫生用地</w:t>
            </w:r>
          </w:p>
        </w:tc>
        <w:tc>
          <w:tcPr>
            <w:tcW w:w="4738"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用于医疗、保健、卫生、防疫、康复和急救设施等用地。包括综合医院、专科医院、社区卫生服务中心等用地；卫生防疫站、专科防治所、检验中心和动物检疫站等用地；对环境有特殊要求的传染病、精神病等专科医院用地；急救中心、血库等用地。</w:t>
            </w:r>
          </w:p>
        </w:tc>
        <w:tc>
          <w:tcPr>
            <w:tcW w:w="1830"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医疗卫生用地（0805）</w:t>
            </w:r>
          </w:p>
        </w:tc>
        <w:tc>
          <w:tcPr>
            <w:tcW w:w="1822"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医疗卫生用地（0806）</w:t>
            </w:r>
          </w:p>
        </w:tc>
        <w:tc>
          <w:tcPr>
            <w:tcW w:w="1265"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公共服务用地</w:t>
            </w:r>
          </w:p>
        </w:tc>
        <w:tc>
          <w:tcPr>
            <w:tcW w:w="1475"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1.0</w:t>
            </w:r>
          </w:p>
        </w:tc>
      </w:tr>
      <w:tr>
        <w:tblPrEx>
          <w:tblLayout w:type="fixed"/>
          <w:tblCellMar>
            <w:top w:w="0" w:type="dxa"/>
            <w:left w:w="108" w:type="dxa"/>
            <w:bottom w:w="0" w:type="dxa"/>
            <w:right w:w="108" w:type="dxa"/>
          </w:tblCellMar>
        </w:tblPrEx>
        <w:trPr>
          <w:cantSplit/>
          <w:trHeight w:val="686" w:hRule="atLeast"/>
          <w:jc w:val="center"/>
        </w:trPr>
        <w:tc>
          <w:tcPr>
            <w:tcW w:w="696"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628"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社会福利用地</w:t>
            </w:r>
          </w:p>
        </w:tc>
        <w:tc>
          <w:tcPr>
            <w:tcW w:w="4738"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指为社会提供福利和慈善服务的设施及其附属设施用地，包括福利院、养老院、孤儿院等用地。</w:t>
            </w:r>
          </w:p>
        </w:tc>
        <w:tc>
          <w:tcPr>
            <w:tcW w:w="1830"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社会福利用地（0806）</w:t>
            </w:r>
          </w:p>
        </w:tc>
        <w:tc>
          <w:tcPr>
            <w:tcW w:w="1822"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社会福利用地（0807）</w:t>
            </w:r>
          </w:p>
        </w:tc>
        <w:tc>
          <w:tcPr>
            <w:tcW w:w="1265"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公共服务用地</w:t>
            </w:r>
          </w:p>
        </w:tc>
        <w:tc>
          <w:tcPr>
            <w:tcW w:w="1475"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w:t>
            </w:r>
          </w:p>
        </w:tc>
      </w:tr>
      <w:tr>
        <w:tblPrEx>
          <w:tblLayout w:type="fixed"/>
          <w:tblCellMar>
            <w:top w:w="0" w:type="dxa"/>
            <w:left w:w="108" w:type="dxa"/>
            <w:bottom w:w="0" w:type="dxa"/>
            <w:right w:w="108" w:type="dxa"/>
          </w:tblCellMar>
        </w:tblPrEx>
        <w:trPr>
          <w:cantSplit/>
          <w:trHeight w:val="686" w:hRule="atLeast"/>
          <w:jc w:val="center"/>
        </w:trPr>
        <w:tc>
          <w:tcPr>
            <w:tcW w:w="696"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628"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文化设施用地</w:t>
            </w:r>
          </w:p>
        </w:tc>
        <w:tc>
          <w:tcPr>
            <w:tcW w:w="4738"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图书、展览等公共文化活动设施用地。包括公共图书馆、博物馆、档案馆、科技馆、纪念馆、美术馆和展览馆等设施用地；综合文化活动中心、文化馆、国有戏曲表演机构展演场馆、非物质文化遗产保护项目传承和展示场馆、青少年宫、儿童活动中心、老年活动中心等用地。</w:t>
            </w:r>
          </w:p>
        </w:tc>
        <w:tc>
          <w:tcPr>
            <w:tcW w:w="1830"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文化设施用地（0807）</w:t>
            </w:r>
          </w:p>
        </w:tc>
        <w:tc>
          <w:tcPr>
            <w:tcW w:w="1822"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文化用地（0803）</w:t>
            </w:r>
          </w:p>
        </w:tc>
        <w:tc>
          <w:tcPr>
            <w:tcW w:w="1265"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公共服务用地</w:t>
            </w:r>
          </w:p>
        </w:tc>
        <w:tc>
          <w:tcPr>
            <w:tcW w:w="1475"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w:t>
            </w:r>
          </w:p>
        </w:tc>
      </w:tr>
      <w:tr>
        <w:tblPrEx>
          <w:tblLayout w:type="fixed"/>
          <w:tblCellMar>
            <w:top w:w="0" w:type="dxa"/>
            <w:left w:w="108" w:type="dxa"/>
            <w:bottom w:w="0" w:type="dxa"/>
            <w:right w:w="108" w:type="dxa"/>
          </w:tblCellMar>
        </w:tblPrEx>
        <w:trPr>
          <w:cantSplit/>
          <w:trHeight w:val="686" w:hRule="atLeast"/>
          <w:jc w:val="center"/>
        </w:trPr>
        <w:tc>
          <w:tcPr>
            <w:tcW w:w="696"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628"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体育用地</w:t>
            </w:r>
          </w:p>
        </w:tc>
        <w:tc>
          <w:tcPr>
            <w:tcW w:w="4738"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体育馆和体育训练基地等用地，包括室内外体育运动用地，如体育场馆、游泳馆、各类球场及其附属的业余体校等用地，溜冰场、跳伞场、摩托车场、射击场，以及水上运动的陆域部分等用地，以及为体育运动专设的训练基地用地，不包括学校等机构专用的体育设施用地。</w:t>
            </w:r>
          </w:p>
        </w:tc>
        <w:tc>
          <w:tcPr>
            <w:tcW w:w="1830"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体育用地（0808）</w:t>
            </w:r>
          </w:p>
        </w:tc>
        <w:tc>
          <w:tcPr>
            <w:tcW w:w="1822"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体育用地（0805）</w:t>
            </w:r>
          </w:p>
        </w:tc>
        <w:tc>
          <w:tcPr>
            <w:tcW w:w="1265"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公共服务用地</w:t>
            </w:r>
          </w:p>
        </w:tc>
        <w:tc>
          <w:tcPr>
            <w:tcW w:w="1475"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w:t>
            </w:r>
          </w:p>
        </w:tc>
      </w:tr>
      <w:tr>
        <w:tblPrEx>
          <w:tblLayout w:type="fixed"/>
          <w:tblCellMar>
            <w:top w:w="0" w:type="dxa"/>
            <w:left w:w="108" w:type="dxa"/>
            <w:bottom w:w="0" w:type="dxa"/>
            <w:right w:w="108" w:type="dxa"/>
          </w:tblCellMar>
        </w:tblPrEx>
        <w:trPr>
          <w:cantSplit/>
          <w:trHeight w:val="686" w:hRule="atLeast"/>
          <w:jc w:val="center"/>
        </w:trPr>
        <w:tc>
          <w:tcPr>
            <w:tcW w:w="696"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628" w:type="dxa"/>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公用设施用地</w:t>
            </w:r>
          </w:p>
        </w:tc>
        <w:tc>
          <w:tcPr>
            <w:tcW w:w="4738" w:type="dxa"/>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指用于城乡基础设施的用地，包括供水、排水、供电、供热、供气、邮政、电信、消防、环卫、公用设施维修等用地。</w:t>
            </w:r>
          </w:p>
        </w:tc>
        <w:tc>
          <w:tcPr>
            <w:tcW w:w="1830" w:type="dxa"/>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公用设施用地（0809）</w:t>
            </w:r>
          </w:p>
        </w:tc>
        <w:tc>
          <w:tcPr>
            <w:tcW w:w="1822"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公用设施用地（13）</w:t>
            </w:r>
          </w:p>
        </w:tc>
        <w:tc>
          <w:tcPr>
            <w:tcW w:w="1265" w:type="dxa"/>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公用设施用地</w:t>
            </w:r>
          </w:p>
        </w:tc>
        <w:tc>
          <w:tcPr>
            <w:tcW w:w="1475" w:type="dxa"/>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1.0</w:t>
            </w:r>
          </w:p>
        </w:tc>
      </w:tr>
      <w:tr>
        <w:tblPrEx>
          <w:tblLayout w:type="fixed"/>
          <w:tblCellMar>
            <w:top w:w="0" w:type="dxa"/>
            <w:left w:w="108" w:type="dxa"/>
            <w:bottom w:w="0" w:type="dxa"/>
            <w:right w:w="108" w:type="dxa"/>
          </w:tblCellMar>
        </w:tblPrEx>
        <w:trPr>
          <w:cantSplit/>
          <w:trHeight w:val="561" w:hRule="atLeast"/>
          <w:jc w:val="center"/>
        </w:trPr>
        <w:tc>
          <w:tcPr>
            <w:tcW w:w="696"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628" w:type="dxa"/>
            <w:vMerge w:val="restart"/>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公园与绿地</w:t>
            </w:r>
          </w:p>
        </w:tc>
        <w:tc>
          <w:tcPr>
            <w:tcW w:w="4738" w:type="dxa"/>
            <w:vMerge w:val="restart"/>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指城镇、村庄范围内的公园、动物园、植物园、街心花园、广场和用于休憩、美化环境及防护的绿化用地。</w:t>
            </w:r>
          </w:p>
        </w:tc>
        <w:tc>
          <w:tcPr>
            <w:tcW w:w="1830" w:type="dxa"/>
            <w:vMerge w:val="restart"/>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公园与绿地(8010)</w:t>
            </w:r>
          </w:p>
        </w:tc>
        <w:tc>
          <w:tcPr>
            <w:tcW w:w="1822"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公园绿地（1401）</w:t>
            </w:r>
          </w:p>
        </w:tc>
        <w:tc>
          <w:tcPr>
            <w:tcW w:w="1265" w:type="dxa"/>
            <w:vMerge w:val="restart"/>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公用设施用地</w:t>
            </w:r>
          </w:p>
        </w:tc>
        <w:tc>
          <w:tcPr>
            <w:tcW w:w="1475" w:type="dxa"/>
            <w:vMerge w:val="restart"/>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w:t>
            </w:r>
          </w:p>
        </w:tc>
      </w:tr>
      <w:tr>
        <w:tblPrEx>
          <w:tblLayout w:type="fixed"/>
          <w:tblCellMar>
            <w:top w:w="0" w:type="dxa"/>
            <w:left w:w="108" w:type="dxa"/>
            <w:bottom w:w="0" w:type="dxa"/>
            <w:right w:w="108" w:type="dxa"/>
          </w:tblCellMar>
        </w:tblPrEx>
        <w:trPr>
          <w:cantSplit/>
          <w:trHeight w:val="436" w:hRule="atLeast"/>
          <w:jc w:val="center"/>
        </w:trPr>
        <w:tc>
          <w:tcPr>
            <w:tcW w:w="696"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628"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4738"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830"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822"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防护绿地（1402）</w:t>
            </w:r>
          </w:p>
        </w:tc>
        <w:tc>
          <w:tcPr>
            <w:tcW w:w="1265"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475"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r>
      <w:tr>
        <w:tblPrEx>
          <w:tblLayout w:type="fixed"/>
          <w:tblCellMar>
            <w:top w:w="0" w:type="dxa"/>
            <w:left w:w="108" w:type="dxa"/>
            <w:bottom w:w="0" w:type="dxa"/>
            <w:right w:w="108" w:type="dxa"/>
          </w:tblCellMar>
        </w:tblPrEx>
        <w:trPr>
          <w:cantSplit/>
          <w:trHeight w:val="249" w:hRule="atLeast"/>
          <w:jc w:val="center"/>
        </w:trPr>
        <w:tc>
          <w:tcPr>
            <w:tcW w:w="696"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628"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4738"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830"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822"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广场用地（1403）</w:t>
            </w:r>
          </w:p>
        </w:tc>
        <w:tc>
          <w:tcPr>
            <w:tcW w:w="1265"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475" w:type="dxa"/>
            <w:vMerge w:val="continue"/>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r>
      <w:tr>
        <w:tblPrEx>
          <w:tblLayout w:type="fixed"/>
          <w:tblCellMar>
            <w:top w:w="0" w:type="dxa"/>
            <w:left w:w="108" w:type="dxa"/>
            <w:bottom w:w="0" w:type="dxa"/>
            <w:right w:w="108" w:type="dxa"/>
          </w:tblCellMar>
        </w:tblPrEx>
        <w:trPr>
          <w:cantSplit/>
          <w:trHeight w:val="686" w:hRule="atLeast"/>
          <w:jc w:val="center"/>
        </w:trPr>
        <w:tc>
          <w:tcPr>
            <w:tcW w:w="696" w:type="dxa"/>
            <w:vMerge w:val="restart"/>
            <w:tcBorders>
              <w:top w:val="single" w:color="auto" w:sz="4" w:space="0"/>
              <w:left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交通运输用地</w:t>
            </w:r>
          </w:p>
        </w:tc>
        <w:tc>
          <w:tcPr>
            <w:tcW w:w="1628"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铁路用地</w:t>
            </w:r>
          </w:p>
        </w:tc>
        <w:tc>
          <w:tcPr>
            <w:tcW w:w="4738"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指用于铁道线路及场站的用地。包括征地范围内的路堤、路堑、道沟、桥梁、林木等用地</w:t>
            </w:r>
          </w:p>
        </w:tc>
        <w:tc>
          <w:tcPr>
            <w:tcW w:w="1830"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铁路用地（1001）</w:t>
            </w:r>
          </w:p>
        </w:tc>
        <w:tc>
          <w:tcPr>
            <w:tcW w:w="1822"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铁路用地（1201）</w:t>
            </w:r>
          </w:p>
        </w:tc>
        <w:tc>
          <w:tcPr>
            <w:tcW w:w="1265" w:type="dxa"/>
            <w:vMerge w:val="restart"/>
            <w:tcBorders>
              <w:top w:val="nil"/>
              <w:left w:val="nil"/>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公用设施用地</w:t>
            </w:r>
          </w:p>
        </w:tc>
        <w:tc>
          <w:tcPr>
            <w:tcW w:w="1475"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w:t>
            </w:r>
          </w:p>
        </w:tc>
      </w:tr>
      <w:tr>
        <w:tblPrEx>
          <w:tblLayout w:type="fixed"/>
          <w:tblCellMar>
            <w:top w:w="0" w:type="dxa"/>
            <w:left w:w="108" w:type="dxa"/>
            <w:bottom w:w="0" w:type="dxa"/>
            <w:right w:w="108" w:type="dxa"/>
          </w:tblCellMar>
        </w:tblPrEx>
        <w:trPr>
          <w:cantSplit/>
          <w:trHeight w:val="686" w:hRule="atLeast"/>
          <w:jc w:val="center"/>
        </w:trPr>
        <w:tc>
          <w:tcPr>
            <w:tcW w:w="696" w:type="dxa"/>
            <w:vMerge w:val="continue"/>
            <w:tcBorders>
              <w:left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628"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管道运输用地</w:t>
            </w:r>
          </w:p>
        </w:tc>
        <w:tc>
          <w:tcPr>
            <w:tcW w:w="4738"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指用于运输煤炭、石油、天然气等管道及其相应附属设施的地上部分用地。</w:t>
            </w:r>
          </w:p>
        </w:tc>
        <w:tc>
          <w:tcPr>
            <w:tcW w:w="1830"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管道运输用地</w:t>
            </w:r>
            <w:r>
              <w:rPr>
                <w:rFonts w:hint="eastAsia" w:ascii="仿宋_GB2312" w:hAnsi="仿宋_GB2312" w:eastAsia="仿宋_GB2312" w:cs="仿宋_GB2312"/>
                <w:kern w:val="0"/>
                <w:sz w:val="24"/>
              </w:rPr>
              <w:t>（1009）</w:t>
            </w:r>
          </w:p>
        </w:tc>
        <w:tc>
          <w:tcPr>
            <w:tcW w:w="1822"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sz w:val="24"/>
              </w:rPr>
              <w:t>管道运输用地</w:t>
            </w:r>
            <w:r>
              <w:rPr>
                <w:rFonts w:hint="eastAsia" w:ascii="仿宋_GB2312" w:hAnsi="仿宋_GB2312" w:eastAsia="仿宋_GB2312" w:cs="仿宋_GB2312"/>
                <w:kern w:val="0"/>
                <w:sz w:val="24"/>
              </w:rPr>
              <w:t>（1205）</w:t>
            </w:r>
          </w:p>
        </w:tc>
        <w:tc>
          <w:tcPr>
            <w:tcW w:w="1265" w:type="dxa"/>
            <w:vMerge w:val="continue"/>
            <w:tcBorders>
              <w:left w:val="nil"/>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475"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0.8</w:t>
            </w:r>
          </w:p>
        </w:tc>
      </w:tr>
      <w:tr>
        <w:tblPrEx>
          <w:tblLayout w:type="fixed"/>
          <w:tblCellMar>
            <w:top w:w="0" w:type="dxa"/>
            <w:left w:w="108" w:type="dxa"/>
            <w:bottom w:w="0" w:type="dxa"/>
            <w:right w:w="108" w:type="dxa"/>
          </w:tblCellMar>
        </w:tblPrEx>
        <w:trPr>
          <w:cantSplit/>
          <w:trHeight w:val="686" w:hRule="atLeast"/>
          <w:jc w:val="center"/>
        </w:trPr>
        <w:tc>
          <w:tcPr>
            <w:tcW w:w="696" w:type="dxa"/>
            <w:vMerge w:val="continue"/>
            <w:tcBorders>
              <w:left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bookmarkStart w:id="132" w:name="RANGE!A51"/>
          </w:p>
        </w:tc>
        <w:tc>
          <w:tcPr>
            <w:tcW w:w="1628"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sz w:val="24"/>
              </w:rPr>
            </w:pPr>
            <w:r>
              <w:rPr>
                <w:rFonts w:hint="eastAsia" w:ascii="仿宋_GB2312" w:hAnsi="仿宋_GB2312" w:eastAsia="仿宋_GB2312" w:cs="仿宋_GB2312"/>
                <w:sz w:val="24"/>
              </w:rPr>
              <w:t>公路用地</w:t>
            </w:r>
          </w:p>
        </w:tc>
        <w:tc>
          <w:tcPr>
            <w:tcW w:w="4738"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指用于国道、省道、县道和乡道的用地。包括征地范围内的路堤、路堑、道沟、桥梁、汽车停靠站、林木及直接为其服务的附属用地</w:t>
            </w:r>
          </w:p>
        </w:tc>
        <w:tc>
          <w:tcPr>
            <w:tcW w:w="1830"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公路用地（1003）</w:t>
            </w:r>
          </w:p>
        </w:tc>
        <w:tc>
          <w:tcPr>
            <w:tcW w:w="1822"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公路用地（1202）</w:t>
            </w:r>
          </w:p>
        </w:tc>
        <w:tc>
          <w:tcPr>
            <w:tcW w:w="1265" w:type="dxa"/>
            <w:vMerge w:val="continue"/>
            <w:tcBorders>
              <w:left w:val="nil"/>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1475"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0.9</w:t>
            </w:r>
          </w:p>
        </w:tc>
      </w:tr>
      <w:tr>
        <w:tblPrEx>
          <w:tblLayout w:type="fixed"/>
          <w:tblCellMar>
            <w:top w:w="0" w:type="dxa"/>
            <w:left w:w="108" w:type="dxa"/>
            <w:bottom w:w="0" w:type="dxa"/>
            <w:right w:w="108" w:type="dxa"/>
          </w:tblCellMar>
        </w:tblPrEx>
        <w:trPr>
          <w:cantSplit/>
          <w:trHeight w:val="686" w:hRule="atLeast"/>
          <w:jc w:val="center"/>
        </w:trPr>
        <w:tc>
          <w:tcPr>
            <w:tcW w:w="696" w:type="dxa"/>
            <w:vMerge w:val="continue"/>
            <w:tcBorders>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628"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交通服务场站用地</w:t>
            </w:r>
          </w:p>
        </w:tc>
        <w:tc>
          <w:tcPr>
            <w:tcW w:w="4738"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指城镇、村庄范围内交通服务设施用地，包括公交枢纽及其附属设施用地、公路长途客运站、公共交通场站、公共停车场（含设有充电桩的停车场）、停车楼、教练场等用地，不包括交通指挥中心、交通队用地</w:t>
            </w:r>
          </w:p>
        </w:tc>
        <w:tc>
          <w:tcPr>
            <w:tcW w:w="1830"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交通服务场站用地（1005）</w:t>
            </w:r>
          </w:p>
        </w:tc>
        <w:tc>
          <w:tcPr>
            <w:tcW w:w="1822"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交通场站用地（1208）</w:t>
            </w:r>
          </w:p>
        </w:tc>
        <w:tc>
          <w:tcPr>
            <w:tcW w:w="1265" w:type="dxa"/>
            <w:vMerge w:val="continue"/>
            <w:tcBorders>
              <w:left w:val="nil"/>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p>
        </w:tc>
        <w:tc>
          <w:tcPr>
            <w:tcW w:w="1475"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textAlignment w:val="center"/>
              <w:rPr>
                <w:rFonts w:ascii="仿宋_GB2312" w:hAnsi="仿宋_GB2312" w:eastAsia="仿宋_GB2312" w:cs="仿宋_GB2312"/>
                <w:kern w:val="0"/>
                <w:sz w:val="24"/>
              </w:rPr>
            </w:pPr>
            <w:r>
              <w:rPr>
                <w:rFonts w:hint="eastAsia" w:ascii="仿宋_GB2312" w:hAnsi="仿宋_GB2312" w:eastAsia="仿宋_GB2312" w:cs="仿宋_GB2312"/>
                <w:kern w:val="0"/>
                <w:sz w:val="24"/>
              </w:rPr>
              <w:t>1.0</w:t>
            </w:r>
          </w:p>
        </w:tc>
      </w:tr>
      <w:tr>
        <w:tblPrEx>
          <w:tblLayout w:type="fixed"/>
          <w:tblCellMar>
            <w:top w:w="0" w:type="dxa"/>
            <w:left w:w="108" w:type="dxa"/>
            <w:bottom w:w="0" w:type="dxa"/>
            <w:right w:w="108" w:type="dxa"/>
          </w:tblCellMar>
        </w:tblPrEx>
        <w:trPr>
          <w:cantSplit/>
          <w:trHeight w:val="686" w:hRule="atLeast"/>
          <w:jc w:val="center"/>
        </w:trPr>
        <w:tc>
          <w:tcPr>
            <w:tcW w:w="696" w:type="dxa"/>
            <w:vMerge w:val="restart"/>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特殊用地</w:t>
            </w:r>
            <w:bookmarkEnd w:id="132"/>
          </w:p>
        </w:tc>
        <w:tc>
          <w:tcPr>
            <w:tcW w:w="1628" w:type="dxa"/>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风景名胜设施用地</w:t>
            </w:r>
          </w:p>
        </w:tc>
        <w:tc>
          <w:tcPr>
            <w:tcW w:w="4738" w:type="dxa"/>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指风景名胜景点（包括名胜古迹、旅游景点、革命遗址、自然保护区、森林公园、地质公园、湿地公园等）的管理机构，以及旅游服务设施的建筑用地，景区内的其他用地按现状归入相应地类。</w:t>
            </w:r>
          </w:p>
        </w:tc>
        <w:tc>
          <w:tcPr>
            <w:tcW w:w="1830" w:type="dxa"/>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风景名胜设施用地（0906）</w:t>
            </w:r>
          </w:p>
        </w:tc>
        <w:tc>
          <w:tcPr>
            <w:tcW w:w="1822" w:type="dxa"/>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风景名胜及特殊用地（205）</w:t>
            </w:r>
          </w:p>
        </w:tc>
        <w:tc>
          <w:tcPr>
            <w:tcW w:w="126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公共服务用地</w:t>
            </w:r>
          </w:p>
        </w:tc>
        <w:tc>
          <w:tcPr>
            <w:tcW w:w="1475" w:type="dxa"/>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1.0</w:t>
            </w:r>
          </w:p>
        </w:tc>
      </w:tr>
      <w:tr>
        <w:tblPrEx>
          <w:tblLayout w:type="fixed"/>
          <w:tblCellMar>
            <w:top w:w="0" w:type="dxa"/>
            <w:left w:w="108" w:type="dxa"/>
            <w:bottom w:w="0" w:type="dxa"/>
            <w:right w:w="108" w:type="dxa"/>
          </w:tblCellMar>
        </w:tblPrEx>
        <w:trPr>
          <w:cantSplit/>
          <w:trHeight w:val="686" w:hRule="atLeast"/>
          <w:jc w:val="center"/>
        </w:trPr>
        <w:tc>
          <w:tcPr>
            <w:tcW w:w="696" w:type="dxa"/>
            <w:vMerge w:val="continue"/>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628" w:type="dxa"/>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殡葬用地</w:t>
            </w:r>
          </w:p>
        </w:tc>
        <w:tc>
          <w:tcPr>
            <w:tcW w:w="4738" w:type="dxa"/>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指陵园、墓地、殡葬场所用地。</w:t>
            </w:r>
          </w:p>
        </w:tc>
        <w:tc>
          <w:tcPr>
            <w:tcW w:w="1830" w:type="dxa"/>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殡葬用地（0905）</w:t>
            </w:r>
          </w:p>
        </w:tc>
        <w:tc>
          <w:tcPr>
            <w:tcW w:w="1822" w:type="dxa"/>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殡葬用地（1506）</w:t>
            </w:r>
          </w:p>
        </w:tc>
        <w:tc>
          <w:tcPr>
            <w:tcW w:w="126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公共服务用地</w:t>
            </w:r>
          </w:p>
        </w:tc>
        <w:tc>
          <w:tcPr>
            <w:tcW w:w="1475" w:type="dxa"/>
            <w:tcBorders>
              <w:top w:val="nil"/>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1.5</w:t>
            </w:r>
          </w:p>
        </w:tc>
      </w:tr>
      <w:tr>
        <w:tblPrEx>
          <w:tblLayout w:type="fixed"/>
          <w:tblCellMar>
            <w:top w:w="0" w:type="dxa"/>
            <w:left w:w="108" w:type="dxa"/>
            <w:bottom w:w="0" w:type="dxa"/>
            <w:right w:w="108" w:type="dxa"/>
          </w:tblCellMar>
        </w:tblPrEx>
        <w:trPr>
          <w:cantSplit/>
          <w:trHeight w:val="686" w:hRule="atLeast"/>
          <w:jc w:val="center"/>
        </w:trPr>
        <w:tc>
          <w:tcPr>
            <w:tcW w:w="696" w:type="dxa"/>
            <w:vMerge w:val="continue"/>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628"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监教场所用地</w:t>
            </w:r>
          </w:p>
        </w:tc>
        <w:tc>
          <w:tcPr>
            <w:tcW w:w="4738"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指用于监狱、看守所、劳改场、戒毒所等的建筑用地</w:t>
            </w:r>
          </w:p>
        </w:tc>
        <w:tc>
          <w:tcPr>
            <w:tcW w:w="1830"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监教场所用地（0903）</w:t>
            </w:r>
          </w:p>
        </w:tc>
        <w:tc>
          <w:tcPr>
            <w:tcW w:w="1822"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监教场所用地（1505）</w:t>
            </w:r>
          </w:p>
        </w:tc>
        <w:tc>
          <w:tcPr>
            <w:tcW w:w="126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公共服务用地</w:t>
            </w:r>
          </w:p>
        </w:tc>
        <w:tc>
          <w:tcPr>
            <w:tcW w:w="1475"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1.0</w:t>
            </w:r>
          </w:p>
        </w:tc>
      </w:tr>
      <w:tr>
        <w:tblPrEx>
          <w:tblLayout w:type="fixed"/>
          <w:tblCellMar>
            <w:top w:w="0" w:type="dxa"/>
            <w:left w:w="108" w:type="dxa"/>
            <w:bottom w:w="0" w:type="dxa"/>
            <w:right w:w="108" w:type="dxa"/>
          </w:tblCellMar>
        </w:tblPrEx>
        <w:trPr>
          <w:cantSplit/>
          <w:trHeight w:val="686" w:hRule="atLeast"/>
          <w:jc w:val="center"/>
        </w:trPr>
        <w:tc>
          <w:tcPr>
            <w:tcW w:w="696" w:type="dxa"/>
            <w:vMerge w:val="continue"/>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p>
        </w:tc>
        <w:tc>
          <w:tcPr>
            <w:tcW w:w="1628"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宗教用地</w:t>
            </w:r>
          </w:p>
        </w:tc>
        <w:tc>
          <w:tcPr>
            <w:tcW w:w="4738"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指专门用于宗教活动的庙宇、寺院、道观、教堂等宗教自用地</w:t>
            </w:r>
          </w:p>
        </w:tc>
        <w:tc>
          <w:tcPr>
            <w:tcW w:w="1830"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宗教用地（0904）</w:t>
            </w:r>
          </w:p>
        </w:tc>
        <w:tc>
          <w:tcPr>
            <w:tcW w:w="1822"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宗教用地（1503）</w:t>
            </w:r>
          </w:p>
        </w:tc>
        <w:tc>
          <w:tcPr>
            <w:tcW w:w="1265" w:type="dxa"/>
            <w:tcBorders>
              <w:top w:val="single" w:color="auto" w:sz="4" w:space="0"/>
              <w:left w:val="single" w:color="auto" w:sz="4" w:space="0"/>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公共服务用地</w:t>
            </w:r>
          </w:p>
        </w:tc>
        <w:tc>
          <w:tcPr>
            <w:tcW w:w="1475" w:type="dxa"/>
            <w:tcBorders>
              <w:top w:val="nil"/>
              <w:left w:val="nil"/>
              <w:bottom w:val="single" w:color="auto" w:sz="4" w:space="0"/>
              <w:right w:val="single" w:color="auto" w:sz="4" w:space="0"/>
            </w:tcBorders>
            <w:vAlign w:val="center"/>
          </w:tcPr>
          <w:p>
            <w:pPr>
              <w:widowControl/>
              <w:autoSpaceDE/>
              <w:autoSpaceDN/>
              <w:spacing w:line="240" w:lineRule="auto"/>
              <w:ind w:firstLine="0" w:firstLineChars="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1.0</w:t>
            </w:r>
          </w:p>
        </w:tc>
      </w:tr>
    </w:tbl>
    <w:p>
      <w:pPr>
        <w:spacing w:line="240" w:lineRule="auto"/>
        <w:rPr>
          <w:rFonts w:ascii="仿宋_GB2312" w:hAnsi="仿宋_GB2312" w:eastAsia="仿宋_GB2312" w:cs="仿宋_GB2312"/>
          <w:sz w:val="24"/>
          <w:szCs w:val="22"/>
          <w:lang w:val="zh-CN"/>
        </w:rPr>
      </w:pPr>
      <w:r>
        <w:rPr>
          <w:rFonts w:hint="eastAsia" w:ascii="仿宋_GB2312" w:hAnsi="仿宋_GB2312" w:eastAsia="仿宋_GB2312" w:cs="仿宋_GB2312"/>
          <w:sz w:val="24"/>
          <w:szCs w:val="22"/>
        </w:rPr>
        <w:t>备注：</w:t>
      </w:r>
      <w:r>
        <w:rPr>
          <w:rFonts w:hint="eastAsia" w:ascii="仿宋_GB2312" w:hAnsi="仿宋_GB2312" w:eastAsia="仿宋_GB2312" w:cs="仿宋_GB2312"/>
          <w:sz w:val="24"/>
          <w:szCs w:val="22"/>
          <w:lang w:val="zh-CN"/>
        </w:rPr>
        <w:t>本表适用于其他用地类型地块级别基准地价计算；</w:t>
      </w:r>
    </w:p>
    <w:p>
      <w:pPr>
        <w:numPr>
          <w:ilvl w:val="0"/>
          <w:numId w:val="12"/>
        </w:numPr>
        <w:spacing w:line="240" w:lineRule="auto"/>
        <w:rPr>
          <w:rFonts w:ascii="仿宋_GB2312" w:hAnsi="仿宋_GB2312" w:eastAsia="仿宋_GB2312" w:cs="仿宋_GB2312"/>
          <w:sz w:val="24"/>
          <w:szCs w:val="22"/>
        </w:rPr>
      </w:pPr>
      <w:r>
        <w:rPr>
          <w:rFonts w:hint="eastAsia" w:ascii="仿宋_GB2312" w:hAnsi="仿宋_GB2312" w:eastAsia="仿宋_GB2312" w:cs="仿宋_GB2312"/>
          <w:sz w:val="24"/>
          <w:szCs w:val="22"/>
        </w:rPr>
        <w:t>上述修正系数通过修正将一级用途商服、住宅、工业、公共服务和公用设施用地扩大到其他土地利用二级分类，修正后为对应二级用地类型的基准地价参考标准，仅适用于基准地价；</w:t>
      </w:r>
    </w:p>
    <w:p>
      <w:pPr>
        <w:numPr>
          <w:ilvl w:val="0"/>
          <w:numId w:val="12"/>
        </w:numPr>
        <w:spacing w:line="240" w:lineRule="auto"/>
        <w:rPr>
          <w:rFonts w:ascii="仿宋_GB2312" w:hAnsi="仿宋_GB2312" w:eastAsia="仿宋_GB2312" w:cs="仿宋_GB2312"/>
          <w:sz w:val="24"/>
          <w:szCs w:val="22"/>
        </w:rPr>
      </w:pPr>
      <w:r>
        <w:rPr>
          <w:rFonts w:hint="eastAsia" w:ascii="仿宋_GB2312" w:hAnsi="仿宋_GB2312" w:eastAsia="仿宋_GB2312" w:cs="仿宋_GB2312"/>
          <w:sz w:val="24"/>
          <w:szCs w:val="22"/>
        </w:rPr>
        <w:t>上述修正系数涉及的土地用途均为经营性用地，仅适用于出让价格参考。其他非营利性的公共管理与公共服务用地、交通运输用地和特殊用地等用地符合相关供地政策且经批准后可采用其他方式供地；</w:t>
      </w:r>
    </w:p>
    <w:p>
      <w:pPr>
        <w:numPr>
          <w:ilvl w:val="0"/>
          <w:numId w:val="12"/>
        </w:numPr>
        <w:spacing w:line="240" w:lineRule="auto"/>
        <w:rPr>
          <w:rFonts w:ascii="仿宋_GB2312" w:hAnsi="仿宋_GB2312" w:eastAsia="仿宋_GB2312" w:cs="仿宋_GB2312"/>
          <w:sz w:val="24"/>
          <w:szCs w:val="22"/>
        </w:rPr>
      </w:pPr>
      <w:r>
        <w:rPr>
          <w:rFonts w:hint="eastAsia" w:ascii="仿宋_GB2312" w:hAnsi="仿宋_GB2312" w:eastAsia="仿宋_GB2312" w:cs="仿宋_GB2312"/>
          <w:sz w:val="24"/>
          <w:szCs w:val="22"/>
        </w:rPr>
        <w:t>具有多种用途的土地应按土地分摊面积分别确定用地类型；</w:t>
      </w:r>
    </w:p>
    <w:p>
      <w:pPr>
        <w:numPr>
          <w:ilvl w:val="0"/>
          <w:numId w:val="12"/>
        </w:numPr>
        <w:spacing w:line="240" w:lineRule="auto"/>
        <w:rPr>
          <w:rFonts w:ascii="仿宋_GB2312" w:hAnsi="仿宋_GB2312" w:eastAsia="仿宋_GB2312" w:cs="仿宋_GB2312"/>
          <w:sz w:val="24"/>
          <w:szCs w:val="22"/>
        </w:rPr>
      </w:pPr>
      <w:r>
        <w:rPr>
          <w:rFonts w:hint="eastAsia" w:ascii="仿宋_GB2312" w:hAnsi="仿宋_GB2312" w:eastAsia="仿宋_GB2312" w:cs="仿宋_GB2312"/>
          <w:sz w:val="24"/>
          <w:szCs w:val="22"/>
        </w:rPr>
        <w:t>旅馆用地、商务金融用地修正商服用地级别不需要考虑商服路线价；</w:t>
      </w:r>
    </w:p>
    <w:p>
      <w:pPr>
        <w:numPr>
          <w:ilvl w:val="0"/>
          <w:numId w:val="12"/>
        </w:numPr>
        <w:spacing w:line="240" w:lineRule="auto"/>
        <w:rPr>
          <w:rFonts w:ascii="仿宋_GB2312" w:hAnsi="仿宋_GB2312" w:eastAsia="仿宋_GB2312" w:cs="仿宋_GB2312"/>
          <w:sz w:val="24"/>
          <w:szCs w:val="22"/>
        </w:rPr>
      </w:pPr>
      <w:r>
        <w:rPr>
          <w:rFonts w:hint="eastAsia" w:ascii="仿宋_GB2312" w:hAnsi="仿宋_GB2312" w:eastAsia="仿宋_GB2312" w:cs="仿宋_GB2312"/>
          <w:sz w:val="24"/>
          <w:szCs w:val="22"/>
        </w:rPr>
        <w:t>殡葬用地修正后为地面地价，且不作容积率修正；</w:t>
      </w:r>
    </w:p>
    <w:p>
      <w:pPr>
        <w:numPr>
          <w:ilvl w:val="0"/>
          <w:numId w:val="12"/>
        </w:numPr>
        <w:spacing w:line="240" w:lineRule="auto"/>
        <w:rPr>
          <w:rFonts w:ascii="仿宋_GB2312" w:hAnsi="仿宋_GB2312" w:eastAsia="仿宋_GB2312" w:cs="仿宋_GB2312"/>
          <w:sz w:val="24"/>
          <w:szCs w:val="22"/>
        </w:rPr>
      </w:pPr>
      <w:r>
        <w:rPr>
          <w:rFonts w:hint="eastAsia" w:ascii="仿宋_GB2312" w:hAnsi="仿宋_GB2312" w:eastAsia="仿宋_GB2312" w:cs="仿宋_GB2312"/>
          <w:sz w:val="24"/>
          <w:szCs w:val="22"/>
        </w:rPr>
        <w:t>凡是不在以上范围内的其他用地应按程序评估加以确定。</w:t>
      </w:r>
    </w:p>
    <w:p>
      <w:pPr>
        <w:pStyle w:val="98"/>
        <w:tabs>
          <w:tab w:val="left" w:pos="915"/>
        </w:tabs>
        <w:spacing w:before="72" w:after="72" w:line="240" w:lineRule="auto"/>
        <w:ind w:left="560" w:leftChars="200" w:firstLine="0" w:firstLineChars="0"/>
        <w:rPr>
          <w:rFonts w:ascii="仿宋" w:hAnsi="仿宋" w:eastAsia="仿宋" w:cs="仿宋"/>
          <w:sz w:val="24"/>
        </w:rPr>
      </w:pPr>
    </w:p>
    <w:p>
      <w:pPr>
        <w:pStyle w:val="98"/>
        <w:tabs>
          <w:tab w:val="left" w:pos="915"/>
        </w:tabs>
        <w:spacing w:before="72" w:after="72" w:line="240" w:lineRule="auto"/>
        <w:ind w:left="560" w:leftChars="200" w:firstLine="0" w:firstLineChars="0"/>
        <w:rPr>
          <w:rFonts w:ascii="仿宋" w:hAnsi="仿宋" w:eastAsia="仿宋" w:cs="仿宋"/>
          <w:sz w:val="24"/>
        </w:rPr>
        <w:sectPr>
          <w:headerReference r:id="rId9" w:type="default"/>
          <w:footerReference r:id="rId10" w:type="default"/>
          <w:pgSz w:w="16838" w:h="11906" w:orient="landscape"/>
          <w:pgMar w:top="1440" w:right="1800" w:bottom="1440" w:left="1800" w:header="851" w:footer="992" w:gutter="0"/>
          <w:pgNumType w:fmt="numberInDash"/>
          <w:cols w:space="720" w:num="1"/>
          <w:docGrid w:linePitch="312" w:charSpace="0"/>
        </w:sectPr>
      </w:pPr>
    </w:p>
    <w:p>
      <w:pPr>
        <w:autoSpaceDE/>
        <w:autoSpaceDN/>
        <w:spacing w:line="580" w:lineRule="exact"/>
        <w:ind w:firstLine="640"/>
        <w:rPr>
          <w:rFonts w:ascii="黑体" w:hAnsi="黑体" w:eastAsia="黑体" w:cs="黑体"/>
          <w:snapToGrid w:val="0"/>
          <w:kern w:val="2"/>
          <w:sz w:val="32"/>
          <w:szCs w:val="32"/>
        </w:rPr>
      </w:pPr>
      <w:bookmarkStart w:id="133" w:name="_Toc17865"/>
      <w:r>
        <w:rPr>
          <w:rFonts w:hint="eastAsia" w:ascii="黑体" w:hAnsi="黑体" w:eastAsia="黑体" w:cs="黑体"/>
          <w:snapToGrid w:val="0"/>
          <w:kern w:val="2"/>
          <w:sz w:val="32"/>
          <w:szCs w:val="32"/>
        </w:rPr>
        <w:t>六、计算宗地地价公式（建筑面积均为计容建筑面积）</w:t>
      </w:r>
      <w:bookmarkEnd w:id="133"/>
    </w:p>
    <w:p>
      <w:pPr>
        <w:adjustRightInd w:val="0"/>
        <w:spacing w:line="580" w:lineRule="exact"/>
        <w:ind w:firstLine="640"/>
        <w:rPr>
          <w:rFonts w:ascii="楷体_GB2312" w:hAnsi="楷体_GB2312" w:eastAsia="楷体_GB2312" w:cs="楷体_GB2312"/>
          <w:snapToGrid w:val="0"/>
          <w:color w:val="000000"/>
          <w:kern w:val="0"/>
          <w:sz w:val="32"/>
          <w:szCs w:val="32"/>
        </w:rPr>
      </w:pPr>
      <w:bookmarkStart w:id="134" w:name="_Toc12110"/>
      <w:r>
        <w:rPr>
          <w:rFonts w:hint="eastAsia" w:ascii="楷体_GB2312" w:hAnsi="楷体_GB2312" w:eastAsia="楷体_GB2312" w:cs="楷体_GB2312"/>
          <w:snapToGrid w:val="0"/>
          <w:color w:val="000000"/>
          <w:kern w:val="0"/>
          <w:sz w:val="32"/>
          <w:szCs w:val="32"/>
        </w:rPr>
        <w:t>（一）商服用地的宗地地价计算公式</w:t>
      </w:r>
      <w:bookmarkEnd w:id="134"/>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若地上建筑物已建成直接进行楼层修正；若未建成但可获得容积率、建筑密度等规划设计要点指标并能够确定总建筑层数及其各楼层建筑面积时，需进行换算处理为对应指标下的楼层设计方案后，进行楼层修正。</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1.宗地所临道路存在路线价时，计算公式：</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①应用于已建项目或有满足楼层修正系数的指标的待开发商服用地</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※首层商服用地单位楼面地价：</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首层商服用地楼面地价={[路线价总价×深度修正系数×宽深比修正系数×标准深度内首层商服建筑面积＋商服用地级别价×(首层总建筑面积-标准深度内首层商服建筑面积)]÷首层总建筑面积±开发程度修正值÷容积率}×其他用地类型修正系数×街角地修正系数×期日修正系数×(1+区域因素修正系数之和)×(1+其他个别因素修正系数之和)×土地剩余使用年期修正系数</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※二层及以上商服用地楼面地价：</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二层及二层以上商服用地楼面地价=首层商服用地楼面地价×对应层数的楼层修正系数</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※商服用地总地价：</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对应楼层商服用地总地价=对应楼层商服用地楼面地价×对应层商服建筑面积</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商服用地总地价=∑各层商服用地总地价</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商服用地平均楼面地价=商服用地总地价÷商服总计容建筑面积</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②应用于待开发项目(不能满足楼层修正指标的待开发商服用地，商服容积率修正为纯商服用地的容积率，不是综合容积率，即对应用途商服容积率=对应用途商服建筑面积/总用地面积)</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商服用地平均楼面地价={[路线价总价×深度修正系数×宽深比修正系数×标准深度内首层商服建筑面积＋商服用地级别价×(首层总建筑面积-标准深度内首层商服建筑面积)]÷首层总建筑面积±开发程度修正值÷容积率}×其他用地类型修正系数×容积率修正系数×街角地修正系数×期日修正系数×(1+区域因素修正系数之和)×(1+其他个别因素修正系数之和)×土地剩余使用年期修正系数</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商服用地总地价=商服用地平均楼面地价×商服用地总计容建筑面积</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2.宗地所临道路不存在路线价时，计算公式为：</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（1）应用于已建项目或有满足楼层修正系数的指标的待开发商服用地</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※首层商服用地楼面地价：</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首层商服用地平均楼面地价=（商服用地级别价±开发程度修正值÷容积率）×其他用地类型修正系数×街角地修正系数×期日修正系数×(1+区域因素修正系数之和)×(1+其他个别因素修正系数之和)×土地剩余使用年期修正系数</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※二层及以上商服用地楼面地价：</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二层及二层以上商服用地平均楼面地价=首层商服用地平均楼面地价×对应层数的楼层修正系数</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※商服用地总地价：</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对应楼层商服用地总地价=对应楼层商服用地平均楼面地价×对应层商服建筑面积商服用地总地价=∑各层商服用地总地价</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商服用地平均楼面地价=商服用地总地价÷商服总计容建筑面积</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（2）应用于待开发项目(不能满足楼层修正指标的待开发商服用地，商服容积率修正为纯商服用地的容积率，不是综合容积率，即商服容积率=商服总建筑面积/总用地面积)</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商服用地平均楼面地价=（商服用地级别价±开发程度修正值÷容积率）×其他用地类型修正系数×容积率修正系数×街角地修正系数×期日修正系数×(1+区域因素修正系数之和)×(1+其他个别因素修正系数之和)×土地剩余使用年期修正系数</w:t>
      </w:r>
    </w:p>
    <w:p>
      <w:pPr>
        <w:adjustRightInd w:val="0"/>
        <w:spacing w:line="600" w:lineRule="exact"/>
        <w:ind w:firstLine="620"/>
        <w:rPr>
          <w:rFonts w:ascii="仿宋_GB2312" w:hAnsi="仿宋_GB2312" w:eastAsia="仿宋_GB2312" w:cs="仿宋_GB2312"/>
          <w:spacing w:val="-5"/>
          <w:kern w:val="0"/>
          <w:sz w:val="32"/>
          <w:szCs w:val="32"/>
          <w:lang w:val="zh-CN"/>
        </w:rPr>
      </w:pPr>
      <w:r>
        <w:rPr>
          <w:rFonts w:hint="eastAsia" w:ascii="仿宋_GB2312" w:hAnsi="仿宋_GB2312" w:eastAsia="仿宋_GB2312" w:cs="仿宋_GB2312"/>
          <w:spacing w:val="-5"/>
          <w:kern w:val="0"/>
          <w:sz w:val="32"/>
          <w:szCs w:val="32"/>
          <w:lang w:val="zh-CN"/>
        </w:rPr>
        <w:t>商服用地总地价=商服用地平均楼面地价×商服用地总计容建筑面积</w:t>
      </w:r>
    </w:p>
    <w:p>
      <w:pPr>
        <w:adjustRightInd w:val="0"/>
        <w:spacing w:line="580" w:lineRule="exact"/>
        <w:ind w:firstLine="640"/>
        <w:rPr>
          <w:rFonts w:ascii="楷体_GB2312" w:hAnsi="楷体_GB2312" w:eastAsia="楷体_GB2312" w:cs="楷体_GB2312"/>
          <w:snapToGrid w:val="0"/>
          <w:color w:val="000000"/>
          <w:kern w:val="0"/>
          <w:sz w:val="32"/>
          <w:szCs w:val="32"/>
        </w:rPr>
      </w:pPr>
      <w:bookmarkStart w:id="135" w:name="_Toc18648"/>
      <w:r>
        <w:rPr>
          <w:rFonts w:hint="eastAsia" w:ascii="楷体_GB2312" w:hAnsi="楷体_GB2312" w:eastAsia="楷体_GB2312" w:cs="楷体_GB2312"/>
          <w:snapToGrid w:val="0"/>
          <w:color w:val="000000"/>
          <w:kern w:val="0"/>
          <w:sz w:val="32"/>
          <w:szCs w:val="32"/>
        </w:rPr>
        <w:t>（二）住宅用地的宗地地价计算公式</w:t>
      </w:r>
      <w:bookmarkEnd w:id="135"/>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住宅用地平均楼面地价＝（住宅用地级别价±土地开发程度修正值÷容积率）×期日修正系数×容积率修正系数×（1+区域因素修正系数之和）×（1+其他个别因素修正系数之和）×其他用地类型修正系数×土地剩余使用年期修正系数×（1+其它因素修正）</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总地价＝住宅用地平均楼面地价×住宅总建筑面积</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评估具体某一楼层地价时，需要使用楼层楼面地价分配系数的计算公式：</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某一楼层的楼面地价=平均楼面地价×对应楼层的楼层分配系数</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某一层的总地价=对应楼层楼面地价×对应楼层的建筑面积</w:t>
      </w:r>
    </w:p>
    <w:p>
      <w:pPr>
        <w:adjustRightInd w:val="0"/>
        <w:spacing w:line="580" w:lineRule="exact"/>
        <w:ind w:firstLine="640"/>
        <w:rPr>
          <w:rFonts w:ascii="楷体_GB2312" w:hAnsi="楷体_GB2312" w:eastAsia="楷体_GB2312" w:cs="楷体_GB2312"/>
          <w:snapToGrid w:val="0"/>
          <w:color w:val="000000"/>
          <w:kern w:val="0"/>
          <w:sz w:val="32"/>
          <w:szCs w:val="32"/>
        </w:rPr>
      </w:pPr>
      <w:bookmarkStart w:id="136" w:name="_Toc15706"/>
      <w:r>
        <w:rPr>
          <w:rFonts w:hint="eastAsia" w:ascii="楷体_GB2312" w:hAnsi="楷体_GB2312" w:eastAsia="楷体_GB2312" w:cs="楷体_GB2312"/>
          <w:snapToGrid w:val="0"/>
          <w:color w:val="000000"/>
          <w:kern w:val="0"/>
          <w:sz w:val="32"/>
          <w:szCs w:val="32"/>
        </w:rPr>
        <w:t>（三）工业用地宗地地价公式</w:t>
      </w:r>
      <w:bookmarkEnd w:id="136"/>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工业用地地面地价=（工业用地级别价±开发程度修正值）×其他用地类型修正系数×（1+区域因素修正系数之和）×（1+其他个别因素修正系数之和）×期日修正系数×土地剩余使用年期修正系数</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总地价=工业用地地面地价×土地总面积</w:t>
      </w:r>
    </w:p>
    <w:p>
      <w:pPr>
        <w:adjustRightInd w:val="0"/>
        <w:spacing w:line="580" w:lineRule="exact"/>
        <w:ind w:firstLine="640"/>
        <w:rPr>
          <w:rFonts w:ascii="楷体_GB2312" w:hAnsi="楷体_GB2312" w:eastAsia="楷体_GB2312" w:cs="楷体_GB2312"/>
          <w:snapToGrid w:val="0"/>
          <w:color w:val="000000"/>
          <w:kern w:val="0"/>
          <w:sz w:val="32"/>
          <w:szCs w:val="32"/>
        </w:rPr>
      </w:pPr>
      <w:bookmarkStart w:id="137" w:name="_Toc4640"/>
      <w:r>
        <w:rPr>
          <w:rFonts w:hint="eastAsia" w:ascii="楷体_GB2312" w:hAnsi="楷体_GB2312" w:eastAsia="楷体_GB2312" w:cs="楷体_GB2312"/>
          <w:snapToGrid w:val="0"/>
          <w:color w:val="000000"/>
          <w:kern w:val="0"/>
          <w:sz w:val="32"/>
          <w:szCs w:val="32"/>
        </w:rPr>
        <w:t>（四）公共服务用地宗地地价公式</w:t>
      </w:r>
      <w:bookmarkEnd w:id="137"/>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公共服务用地平均楼面地价=（公共服务用地级别价±开发程度修正值÷容积率）×容积率修正系数×其他用地类型修正系数×期日修正系数×（1+区域因素修正系数之和）×（1+其他个别因素修正系数之和）×土地剩余使用年期修正系数</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公共服务用地总地价=公共服务用地平均楼面地价×公共服务用地总建筑面积</w:t>
      </w:r>
    </w:p>
    <w:p>
      <w:pPr>
        <w:adjustRightInd w:val="0"/>
        <w:spacing w:line="580" w:lineRule="exact"/>
        <w:ind w:firstLine="640"/>
        <w:rPr>
          <w:rFonts w:ascii="楷体_GB2312" w:hAnsi="楷体_GB2312" w:eastAsia="楷体_GB2312" w:cs="楷体_GB2312"/>
          <w:snapToGrid w:val="0"/>
          <w:color w:val="000000"/>
          <w:kern w:val="0"/>
          <w:sz w:val="32"/>
          <w:szCs w:val="32"/>
        </w:rPr>
      </w:pPr>
      <w:bookmarkStart w:id="138" w:name="_Toc23518"/>
      <w:r>
        <w:rPr>
          <w:rFonts w:hint="eastAsia" w:ascii="楷体_GB2312" w:hAnsi="楷体_GB2312" w:eastAsia="楷体_GB2312" w:cs="楷体_GB2312"/>
          <w:snapToGrid w:val="0"/>
          <w:color w:val="000000"/>
          <w:kern w:val="0"/>
          <w:sz w:val="32"/>
          <w:szCs w:val="32"/>
        </w:rPr>
        <w:t>（五）公用设施用地宗地地价公式</w:t>
      </w:r>
      <w:bookmarkEnd w:id="138"/>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公用设施用地地面地价=（公用设施用地级别价±开发程度修正值）×公用设施用地期日修正系数×其他用地类型修正系数×（1+区域因素修正系数之和）×（1+其他个别因素修正系数之和）×土地剩余使用年期修正系数</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公用设施用地总地价=公用设施用地地面地价×土地面积</w:t>
      </w:r>
    </w:p>
    <w:p>
      <w:pPr>
        <w:adjustRightInd w:val="0"/>
        <w:spacing w:line="580" w:lineRule="exact"/>
        <w:ind w:firstLine="640"/>
        <w:rPr>
          <w:rFonts w:ascii="楷体_GB2312" w:hAnsi="楷体_GB2312" w:eastAsia="楷体_GB2312" w:cs="楷体_GB2312"/>
          <w:snapToGrid w:val="0"/>
          <w:color w:val="000000"/>
          <w:kern w:val="0"/>
          <w:sz w:val="32"/>
          <w:szCs w:val="32"/>
        </w:rPr>
      </w:pPr>
      <w:bookmarkStart w:id="139" w:name="_Toc18855"/>
      <w:r>
        <w:rPr>
          <w:rFonts w:hint="eastAsia" w:ascii="楷体_GB2312" w:hAnsi="楷体_GB2312" w:eastAsia="楷体_GB2312" w:cs="楷体_GB2312"/>
          <w:snapToGrid w:val="0"/>
          <w:color w:val="000000"/>
          <w:kern w:val="0"/>
          <w:sz w:val="32"/>
          <w:szCs w:val="32"/>
        </w:rPr>
        <w:t>（六）部分特殊二级用地地价公式</w:t>
      </w:r>
      <w:bookmarkEnd w:id="139"/>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1.商服用地中的商务金融用地和旅馆用地的宗地地价参照商服基准地价（不含路线价）的宗地地价计算公式进行计算。</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（1）应用于已建项目或有满足楼层修正系数的指标的待开发商服用地</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※首层商服用地首层楼面地价：</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首层商服用地首层楼面地价=（商服用地级别价±开发程度修正值÷容积率）×其他用地类型修正系数×街角地修正系数×期日修正系数×(1+区域因素修正系数之和)×(1+其他个别因素修正系数之和)×土地剩余使用年期修正系数</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※二层及以上商服用地平均楼面地价：</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二层及二层以上商服用地楼面地价=首层商服用地单位楼面地价×对应层数的楼层修正系数</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※商服用地总地价：</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对应楼层商服用地总地价=对应楼层商服用地楼面地价×对应层商服建筑面积商服用地总地价=∑各层商服用地总地价</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商服用地平均楼面地价=商服用地总地价÷商服总计容建筑面积</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（2）应用于待开发项目(不能满足楼层修正指标的待开发商服用地，商服容积率修正为项目综合容积率)</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商服用地平均楼面地价=（商服用地级别价±开发程度修正值÷容积率）×其他用地类型修正系数×容积率修正系数×街角地修正系数×期日修正系数×(1+区域因素修正系数之和)×(1+其他个别因素修正系数之和)×土地剩余使用年期修正系数</w:t>
      </w:r>
    </w:p>
    <w:p>
      <w:pPr>
        <w:adjustRightInd w:val="0"/>
        <w:spacing w:line="600" w:lineRule="exact"/>
        <w:ind w:firstLine="620"/>
        <w:rPr>
          <w:rFonts w:ascii="仿宋_GB2312" w:hAnsi="仿宋_GB2312" w:eastAsia="仿宋_GB2312" w:cs="仿宋_GB2312"/>
          <w:spacing w:val="-5"/>
          <w:kern w:val="0"/>
          <w:sz w:val="32"/>
          <w:szCs w:val="32"/>
          <w:lang w:val="zh-CN"/>
        </w:rPr>
      </w:pPr>
      <w:r>
        <w:rPr>
          <w:rFonts w:hint="eastAsia" w:ascii="仿宋_GB2312" w:hAnsi="仿宋_GB2312" w:eastAsia="仿宋_GB2312" w:cs="仿宋_GB2312"/>
          <w:spacing w:val="-5"/>
          <w:kern w:val="0"/>
          <w:sz w:val="32"/>
          <w:szCs w:val="32"/>
          <w:lang w:val="zh-CN"/>
        </w:rPr>
        <w:t>商服用地总地价=商服用地</w:t>
      </w:r>
      <w:r>
        <w:rPr>
          <w:rFonts w:hint="eastAsia" w:ascii="仿宋_GB2312" w:hAnsi="仿宋_GB2312" w:eastAsia="仿宋_GB2312" w:cs="仿宋_GB2312"/>
          <w:spacing w:val="-5"/>
          <w:kern w:val="0"/>
          <w:sz w:val="32"/>
          <w:szCs w:val="32"/>
        </w:rPr>
        <w:t>平均楼面地价</w:t>
      </w:r>
      <w:r>
        <w:rPr>
          <w:rFonts w:hint="eastAsia" w:ascii="仿宋_GB2312" w:hAnsi="仿宋_GB2312" w:eastAsia="仿宋_GB2312" w:cs="仿宋_GB2312"/>
          <w:spacing w:val="-5"/>
          <w:kern w:val="0"/>
          <w:sz w:val="32"/>
          <w:szCs w:val="32"/>
          <w:lang w:val="zh-CN"/>
        </w:rPr>
        <w:t>×商服用地总计容建筑面积</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2.一类城镇住宅用地的宗地地价计算公式参照对应的住宅基准地价的宗地地价计算公式进行计算：</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对应用地类型平均楼面地价=（住宅用地级别价±开发程度修正值÷容积率）×一类城镇住宅用地类型修正系数×（1+区域因素修正系数之和）×（1+其他个别因素修正系数之和）×期日修正系数×土地剩余使用年期修正系数×（1+其它因素修正）</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对应用地类型总地价=对应用地类型平均楼面地价×对应用地类型总建筑面积</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3.特殊用地中的风景名胜设施用地、宗教用地、监教场所用地参照对应的公共服务用地基准地价的宗地地价计算公式进行计算：</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对应用地类型平均楼面地价=（公共服务用地级别价±开发程度修正值÷容积率）×其它用地类型修正系数×容积率修正系数×期日修正系数×（1+区域因素修正系数之和）×（1+其他个别因素修正系数之和）×土地剩余使用年期修正系数</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对应用地类型总地价=对应用地类型平均楼面地价×对应用地类型总建筑面积</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4.特殊用地中的殡葬用地参照对应的公共服务用地基准地价的宗地地价计算公式进行计算，即：</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对应用地类型单位地面地价=（公共服务用地级别价±开发程度修正值）×其它用地类型修正系数×期日修正系数×（1+区域因素修正系数之和）×（1+其他个别因素修正系数之和）×土地剩余使用年期修正系数</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殡葬用地总地价=殡葬用地单位地面地价×殡葬用地总土地面积</w:t>
      </w:r>
    </w:p>
    <w:p>
      <w:pPr>
        <w:adjustRightInd w:val="0"/>
        <w:spacing w:line="580" w:lineRule="exact"/>
        <w:ind w:firstLine="640"/>
        <w:rPr>
          <w:rFonts w:ascii="楷体_GB2312" w:hAnsi="楷体_GB2312" w:eastAsia="楷体_GB2312" w:cs="楷体_GB2312"/>
          <w:snapToGrid w:val="0"/>
          <w:color w:val="000000"/>
          <w:kern w:val="0"/>
          <w:sz w:val="32"/>
          <w:szCs w:val="32"/>
        </w:rPr>
      </w:pPr>
      <w:bookmarkStart w:id="140" w:name="_Toc30130"/>
      <w:r>
        <w:rPr>
          <w:rFonts w:hint="eastAsia" w:ascii="楷体_GB2312" w:hAnsi="楷体_GB2312" w:eastAsia="楷体_GB2312" w:cs="楷体_GB2312"/>
          <w:snapToGrid w:val="0"/>
          <w:color w:val="000000"/>
          <w:kern w:val="0"/>
          <w:sz w:val="32"/>
          <w:szCs w:val="32"/>
        </w:rPr>
        <w:t>（七）特殊处理办法</w:t>
      </w:r>
      <w:bookmarkEnd w:id="140"/>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1.当一宗地同时兼容不同土地用途时，需分别计算宗地内各种用途的地价，宗地的总地价等于各种用途的地价之和。</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2.当一宗商服用地同时临多条路线价时，首层商服部分应参照商服用地宗地地价公式对临路线价部分进行加权测算。</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3.当商服、住宅和公共服务用地宗地容积率小于1时，应适当考虑宗地内的建基面积以外的空地对宗地整体土地价值的影响。</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4.在评估确定工业用地出让地价时，若经过基准地价修正后的结果较《全国工业用地出让最低价标准》规定的标准低，则按政策规定取最低价标准。</w:t>
      </w:r>
    </w:p>
    <w:p>
      <w:pPr>
        <w:adjustRightInd w:val="0"/>
        <w:spacing w:line="580" w:lineRule="exact"/>
        <w:ind w:firstLine="640"/>
        <w:rPr>
          <w:rFonts w:ascii="楷体_GB2312" w:hAnsi="楷体_GB2312" w:eastAsia="楷体_GB2312" w:cs="楷体_GB2312"/>
          <w:snapToGrid w:val="0"/>
          <w:color w:val="000000"/>
          <w:kern w:val="0"/>
          <w:sz w:val="32"/>
          <w:szCs w:val="32"/>
        </w:rPr>
      </w:pPr>
      <w:bookmarkStart w:id="141" w:name="_Toc19979"/>
      <w:r>
        <w:rPr>
          <w:rFonts w:hint="eastAsia" w:ascii="楷体_GB2312" w:hAnsi="楷体_GB2312" w:eastAsia="楷体_GB2312" w:cs="楷体_GB2312"/>
          <w:snapToGrid w:val="0"/>
          <w:color w:val="000000"/>
          <w:kern w:val="0"/>
          <w:sz w:val="32"/>
          <w:szCs w:val="32"/>
        </w:rPr>
        <w:t>（八）地价计算处理方法说明</w:t>
      </w:r>
      <w:bookmarkEnd w:id="141"/>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1.跨级别宗地级别与级别价确定</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对某一土地级别界线而言，它既是上一级土地级的下界线，又是下一级土地级的上界线。一宗完整土地的规划利用具有统一性，用地效益也依赖于各建设项目的整体发挥。为便于地价管理，方便成果使用，对宗地界线跨多个级别的情况，本报告建议在进行宗地地价评估时，原则上取该宗地所处的较高级别基准地价进行评估。</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2.超出出图范围的宗地级别基准地价取值</w:t>
      </w:r>
    </w:p>
    <w:p>
      <w:pPr>
        <w:adjustRightInd w:val="0"/>
        <w:spacing w:line="600" w:lineRule="exact"/>
        <w:ind w:firstLine="620"/>
        <w:rPr>
          <w:rFonts w:ascii="仿宋_GB2312" w:hAnsi="仿宋_GB2312" w:eastAsia="仿宋_GB2312" w:cs="仿宋_GB2312"/>
          <w:spacing w:val="-5"/>
          <w:kern w:val="0"/>
          <w:sz w:val="32"/>
          <w:szCs w:val="32"/>
        </w:rPr>
      </w:pPr>
      <w:r>
        <w:rPr>
          <w:rFonts w:hint="eastAsia" w:ascii="仿宋_GB2312" w:hAnsi="仿宋_GB2312" w:eastAsia="仿宋_GB2312" w:cs="仿宋_GB2312"/>
          <w:spacing w:val="-5"/>
          <w:kern w:val="0"/>
          <w:sz w:val="32"/>
          <w:szCs w:val="32"/>
        </w:rPr>
        <w:t>当宗地所在位置在出图范围外时，级别基准地价为该镇相应用途的末级价格。</w:t>
      </w:r>
      <w:bookmarkEnd w:id="8"/>
      <w:bookmarkEnd w:id="84"/>
      <w:bookmarkEnd w:id="85"/>
    </w:p>
    <w:sectPr>
      <w:headerReference r:id="rId11" w:type="default"/>
      <w:footerReference r:id="rId12" w:type="default"/>
      <w:pgSz w:w="11906" w:h="16838"/>
      <w:pgMar w:top="1588" w:right="1418" w:bottom="1588" w:left="1418" w:header="851" w:footer="992" w:gutter="0"/>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A0204"/>
    <w:charset w:val="00"/>
    <w:family w:val="modern"/>
    <w:pitch w:val="default"/>
    <w:sig w:usb0="E00002FF" w:usb1="4000045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仿宋">
    <w:panose1 w:val="02010609060101010101"/>
    <w:charset w:val="86"/>
    <w:family w:val="swiss"/>
    <w:pitch w:val="default"/>
    <w:sig w:usb0="800002BF" w:usb1="38CF7CFA" w:usb2="00000016" w:usb3="00000000" w:csb0="00040001" w:csb1="00000000"/>
  </w:font>
  <w:font w:name="仿宋_GB2312">
    <w:panose1 w:val="02010609030101010101"/>
    <w:charset w:val="86"/>
    <w:family w:val="swiss"/>
    <w:pitch w:val="default"/>
    <w:sig w:usb0="00000001" w:usb1="080E0000" w:usb2="00000000" w:usb3="00000000" w:csb0="00040000" w:csb1="00000000"/>
  </w:font>
  <w:font w:name="黑体">
    <w:panose1 w:val="02010609060101010101"/>
    <w:charset w:val="86"/>
    <w:family w:val="swiss"/>
    <w:pitch w:val="default"/>
    <w:sig w:usb0="800002BF" w:usb1="38CF7CFA" w:usb2="00000016" w:usb3="00000000" w:csb0="00040001" w:csb1="00000000"/>
  </w:font>
  <w:font w:name="Arial">
    <w:panose1 w:val="020B0604020202020204"/>
    <w:charset w:val="00"/>
    <w:family w:val="decorative"/>
    <w:pitch w:val="default"/>
    <w:sig w:usb0="E0002AFF" w:usb1="C0007843" w:usb2="00000009" w:usb3="00000000" w:csb0="400001FF" w:csb1="FFFF0000"/>
  </w:font>
  <w:font w:name="Arial Black">
    <w:panose1 w:val="020B0A04020102020204"/>
    <w:charset w:val="00"/>
    <w:family w:val="decorative"/>
    <w:pitch w:val="default"/>
    <w:sig w:usb0="00000287" w:usb1="00000000" w:usb2="00000000" w:usb3="00000000" w:csb0="2000009F" w:csb1="DFD70000"/>
  </w:font>
  <w:font w:name="华文宋体">
    <w:panose1 w:val="02010600040101010101"/>
    <w:charset w:val="86"/>
    <w:family w:val="auto"/>
    <w:pitch w:val="default"/>
    <w:sig w:usb0="00000287" w:usb1="080F0000" w:usb2="00000000" w:usb3="00000000" w:csb0="0004009F" w:csb1="DFD70000"/>
  </w:font>
  <w:font w:name="Courier New">
    <w:panose1 w:val="02070309020205020404"/>
    <w:charset w:val="00"/>
    <w:family w:val="swiss"/>
    <w:pitch w:val="default"/>
    <w:sig w:usb0="E0002AFF" w:usb1="C0007843" w:usb2="00000009" w:usb3="00000000" w:csb0="400001FF" w:csb1="FFFF0000"/>
  </w:font>
  <w:font w:name="Cambria">
    <w:panose1 w:val="020405030504060A0204"/>
    <w:charset w:val="00"/>
    <w:family w:val="modern"/>
    <w:pitch w:val="default"/>
    <w:sig w:usb0="E00002FF" w:usb1="4000045F" w:usb2="00000000" w:usb3="00000000" w:csb0="2000019F" w:csb1="00000000"/>
  </w:font>
  <w:font w:name="Tahoma">
    <w:panose1 w:val="020B0604030504040204"/>
    <w:charset w:val="00"/>
    <w:family w:val="decorative"/>
    <w:pitch w:val="default"/>
    <w:sig w:usb0="E1002EFF" w:usb1="C000605B" w:usb2="00000029" w:usb3="00000000" w:csb0="200101FF" w:csb1="20280000"/>
  </w:font>
  <w:font w:name="Verdana">
    <w:panose1 w:val="020B0604030504040204"/>
    <w:charset w:val="00"/>
    <w:family w:val="decorative"/>
    <w:pitch w:val="default"/>
    <w:sig w:usb0="A10006FF" w:usb1="4000205B" w:usb2="00000010" w:usb3="00000000" w:csb0="2000019F" w:csb1="00000000"/>
  </w:font>
  <w:font w:name="楷体_GB2312">
    <w:panose1 w:val="02010609030101010101"/>
    <w:charset w:val="86"/>
    <w:family w:val="swiss"/>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黑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spacing w:before="72" w:after="72"/>
      <w:ind w:firstLine="0" w:firstLineChars="0"/>
      <w:rPr>
        <w:lang w:val="zh-CN"/>
      </w:rPr>
    </w:pPr>
    <w:r>
      <w:pict>
        <v:shape id="文本框 1032"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aGmCS9MAAAAFAQAADwAAAAAAAAABACAAAAAi&#10;AAAAZHJzL2Rvd25yZXYueG1sUEsBAhQAFAAAAAgAh07iQCNvL23WAQAApwMAAA4AAAAAAAAAAQAg&#10;AAAAIgEAAGRycy9lMm9Eb2MueG1sUEsFBgAAAAAGAAYAWQEAAGoFAAAAAA==&#10;">
          <v:path/>
          <v:fill on="f" focussize="0,0"/>
          <v:stroke on="f" weight="1.25pt" joinstyle="miter"/>
          <v:imagedata o:title=""/>
          <o:lock v:ext="edit" aspectratio="f"/>
          <v:textbox inset="0mm,0mm,0mm,0mm" style="mso-fit-shape-to-text:t;">
            <w:txbxContent>
              <w:p>
                <w:pPr>
                  <w:pStyle w:val="28"/>
                  <w:spacing w:before="72" w:after="72"/>
                  <w:ind w:firstLine="0" w:firstLineChars="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8</w:t>
                </w:r>
                <w:r>
                  <w:rPr>
                    <w:rFonts w:hint="eastAsia" w:ascii="宋体" w:hAnsi="宋体" w:eastAsia="宋体" w:cs="宋体"/>
                    <w:sz w:val="28"/>
                    <w:szCs w:val="2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2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28"/>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spacing w:before="72" w:after="72"/>
      <w:ind w:firstLine="0" w:firstLineChars="0"/>
      <w:rPr>
        <w:lang w:val="zh-CN"/>
      </w:rPr>
    </w:pPr>
    <w:r>
      <w:pict>
        <v:shape id="_x0000_s3074" o:spid="_x0000_s3074"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GhpgkvTAAAABQEAAA8AAAAAAAAAAQAgAAAAIgAA&#10;AGRycy9kb3ducmV2LnhtbFBLAQIUABQAAAAIAIdO4kAIis0x1AEAAKYDAAAOAAAAAAAAAAEAIAAA&#10;ACIBAABkcnMvZTJvRG9jLnhtbFBLBQYAAAAABgAGAFkBAABoBQAAAAA=&#10;">
          <v:path/>
          <v:fill on="f" focussize="0,0"/>
          <v:stroke on="f" weight="1.25pt" joinstyle="miter"/>
          <v:imagedata o:title=""/>
          <o:lock v:ext="edit" aspectratio="f"/>
          <v:textbox inset="0mm,0mm,0mm,0mm" style="mso-fit-shape-to-text:t;">
            <w:txbxContent>
              <w:p>
                <w:pPr>
                  <w:pStyle w:val="28"/>
                  <w:spacing w:before="72" w:after="72"/>
                  <w:ind w:firstLine="0" w:firstLineChars="0"/>
                </w:pPr>
                <w:r>
                  <w:fldChar w:fldCharType="begin"/>
                </w:r>
                <w:r>
                  <w:instrText xml:space="preserve"> PAGE  \* MERGEFORMAT </w:instrText>
                </w:r>
                <w:r>
                  <w:fldChar w:fldCharType="separate"/>
                </w:r>
                <w:r>
                  <w:t>65</w:t>
                </w:r>
                <w: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spacing w:before="72" w:after="72"/>
      <w:ind w:firstLine="0" w:firstLineChars="0"/>
      <w:rPr>
        <w:lang w:val="zh-CN"/>
      </w:rPr>
    </w:pPr>
    <w:r>
      <w:pict>
        <v:shape id="_x0000_s3073" o:spid="_x0000_s3073"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GhpgkvTAAAABQEAAA8AAAAAAAAAAQAgAAAAIgAA&#10;AGRycy9kb3ducmV2LnhtbFBLAQIUABQAAAAIAIdO4kCnRLKP1AEAAKYDAAAOAAAAAAAAAAEAIAAA&#10;ACIBAABkcnMvZTJvRG9jLnhtbFBLBQYAAAAABgAGAFkBAABoBQAAAAA=&#10;">
          <v:path/>
          <v:fill on="f" focussize="0,0"/>
          <v:stroke on="f" weight="1.25pt" joinstyle="miter"/>
          <v:imagedata o:title=""/>
          <o:lock v:ext="edit" aspectratio="f"/>
          <v:textbox inset="0mm,0mm,0mm,0mm" style="mso-fit-shape-to-text:t;">
            <w:txbxContent>
              <w:p>
                <w:pPr>
                  <w:pStyle w:val="28"/>
                  <w:spacing w:before="72" w:after="72"/>
                  <w:ind w:firstLine="0" w:firstLineChars="0"/>
                </w:pPr>
                <w:r>
                  <w:fldChar w:fldCharType="begin"/>
                </w:r>
                <w:r>
                  <w:instrText xml:space="preserve"> PAGE  \* MERGEFORMAT </w:instrText>
                </w:r>
                <w:r>
                  <w:fldChar w:fldCharType="separate"/>
                </w:r>
                <w:r>
                  <w:t>71</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29"/>
      <w:pBdr>
        <w:bottom w:val="none" w:color="auto" w:sz="0" w:space="1"/>
      </w:pBdr>
      <w:spacing w:before="72" w:after="72"/>
      <w:ind w:firstLine="360"/>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2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29"/>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9"/>
      <w:spacing w:before="72" w:line="14" w:lineRule="auto"/>
      <w:ind w:firstLine="400"/>
      <w:rPr>
        <w:sz w:val="20"/>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Bdr>
        <w:bottom w:val="none" w:color="auto" w:sz="0" w:space="1"/>
      </w:pBdr>
      <w:spacing w:before="72" w:after="72"/>
      <w:ind w:firstLine="400"/>
      <w:jc w:val="right"/>
      <w:rPr>
        <w:sz w:val="20"/>
      </w:rPr>
    </w:pPr>
  </w:p>
  <w:p>
    <w:pPr>
      <w:pStyle w:val="9"/>
      <w:spacing w:before="72" w:line="14" w:lineRule="auto"/>
      <w:ind w:firstLine="400"/>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2485113497">
    <w:nsid w:val="941FD299"/>
    <w:multiLevelType w:val="multilevel"/>
    <w:tmpl w:val="941FD299"/>
    <w:lvl w:ilvl="0" w:tentative="1">
      <w:start w:val="1"/>
      <w:numFmt w:val="decimal"/>
      <w:suff w:val="nothing"/>
      <w:lvlText w:val="%1."/>
      <w:lvlJc w:val="left"/>
      <w:pPr>
        <w:tabs>
          <w:tab w:val="left" w:pos="0"/>
        </w:tabs>
        <w:ind w:left="1745" w:hanging="1178"/>
      </w:pPr>
      <w:rPr>
        <w:rFonts w:hint="default" w:ascii="仿宋" w:hAnsi="仿宋" w:eastAsia="仿宋_GB2312" w:cs="仿宋"/>
        <w:b w:val="0"/>
        <w:bCs/>
        <w:w w:val="100"/>
        <w:sz w:val="32"/>
        <w:szCs w:val="28"/>
        <w:lang w:val="zh-CN" w:eastAsia="zh-CN" w:bidi="zh-CN"/>
      </w:rPr>
    </w:lvl>
    <w:lvl w:ilvl="1" w:tentative="1">
      <w:start w:val="0"/>
      <w:numFmt w:val="bullet"/>
      <w:lvlText w:val="•"/>
      <w:lvlJc w:val="left"/>
      <w:pPr>
        <w:ind w:left="2634" w:hanging="181"/>
      </w:pPr>
      <w:rPr>
        <w:rFonts w:hint="default"/>
        <w:lang w:val="zh-CN" w:eastAsia="zh-CN" w:bidi="zh-CN"/>
      </w:rPr>
    </w:lvl>
    <w:lvl w:ilvl="2" w:tentative="1">
      <w:start w:val="0"/>
      <w:numFmt w:val="bullet"/>
      <w:lvlText w:val="•"/>
      <w:lvlJc w:val="left"/>
      <w:pPr>
        <w:ind w:left="3529" w:hanging="181"/>
      </w:pPr>
      <w:rPr>
        <w:rFonts w:hint="default"/>
        <w:lang w:val="zh-CN" w:eastAsia="zh-CN" w:bidi="zh-CN"/>
      </w:rPr>
    </w:lvl>
    <w:lvl w:ilvl="3" w:tentative="1">
      <w:start w:val="0"/>
      <w:numFmt w:val="bullet"/>
      <w:lvlText w:val="•"/>
      <w:lvlJc w:val="left"/>
      <w:pPr>
        <w:ind w:left="4423" w:hanging="181"/>
      </w:pPr>
      <w:rPr>
        <w:rFonts w:hint="default"/>
        <w:lang w:val="zh-CN" w:eastAsia="zh-CN" w:bidi="zh-CN"/>
      </w:rPr>
    </w:lvl>
    <w:lvl w:ilvl="4" w:tentative="1">
      <w:start w:val="0"/>
      <w:numFmt w:val="bullet"/>
      <w:lvlText w:val="•"/>
      <w:lvlJc w:val="left"/>
      <w:pPr>
        <w:ind w:left="5318" w:hanging="181"/>
      </w:pPr>
      <w:rPr>
        <w:rFonts w:hint="default"/>
        <w:lang w:val="zh-CN" w:eastAsia="zh-CN" w:bidi="zh-CN"/>
      </w:rPr>
    </w:lvl>
    <w:lvl w:ilvl="5" w:tentative="1">
      <w:start w:val="0"/>
      <w:numFmt w:val="bullet"/>
      <w:lvlText w:val="•"/>
      <w:lvlJc w:val="left"/>
      <w:pPr>
        <w:ind w:left="6213" w:hanging="181"/>
      </w:pPr>
      <w:rPr>
        <w:rFonts w:hint="default"/>
        <w:lang w:val="zh-CN" w:eastAsia="zh-CN" w:bidi="zh-CN"/>
      </w:rPr>
    </w:lvl>
    <w:lvl w:ilvl="6" w:tentative="1">
      <w:start w:val="0"/>
      <w:numFmt w:val="bullet"/>
      <w:lvlText w:val="•"/>
      <w:lvlJc w:val="left"/>
      <w:pPr>
        <w:ind w:left="7107" w:hanging="181"/>
      </w:pPr>
      <w:rPr>
        <w:rFonts w:hint="default"/>
        <w:lang w:val="zh-CN" w:eastAsia="zh-CN" w:bidi="zh-CN"/>
      </w:rPr>
    </w:lvl>
    <w:lvl w:ilvl="7" w:tentative="1">
      <w:start w:val="0"/>
      <w:numFmt w:val="bullet"/>
      <w:lvlText w:val="•"/>
      <w:lvlJc w:val="left"/>
      <w:pPr>
        <w:ind w:left="8002" w:hanging="181"/>
      </w:pPr>
      <w:rPr>
        <w:rFonts w:hint="default"/>
        <w:lang w:val="zh-CN" w:eastAsia="zh-CN" w:bidi="zh-CN"/>
      </w:rPr>
    </w:lvl>
    <w:lvl w:ilvl="8" w:tentative="1">
      <w:start w:val="0"/>
      <w:numFmt w:val="bullet"/>
      <w:lvlText w:val="•"/>
      <w:lvlJc w:val="left"/>
      <w:pPr>
        <w:ind w:left="8897" w:hanging="181"/>
      </w:pPr>
      <w:rPr>
        <w:rFonts w:hint="default"/>
        <w:lang w:val="zh-CN" w:eastAsia="zh-CN" w:bidi="zh-CN"/>
      </w:rPr>
    </w:lvl>
  </w:abstractNum>
  <w:abstractNum w:abstractNumId="2003823788">
    <w:nsid w:val="776FECAC"/>
    <w:multiLevelType w:val="multilevel"/>
    <w:tmpl w:val="776FECAC"/>
    <w:lvl w:ilvl="0" w:tentative="1">
      <w:start w:val="1"/>
      <w:numFmt w:val="decimal"/>
      <w:suff w:val="space"/>
      <w:lvlText w:val="表%1"/>
      <w:lvlJc w:val="left"/>
      <w:pPr>
        <w:tabs>
          <w:tab w:val="left" w:pos="0"/>
        </w:tabs>
        <w:ind w:left="2831" w:hanging="1697"/>
      </w:pPr>
      <w:rPr>
        <w:rFonts w:hint="default" w:ascii="仿宋_GB2312" w:hAnsi="仿宋_GB2312" w:eastAsia="仿宋_GB2312" w:cs="仿宋"/>
        <w:b w:val="0"/>
        <w:i w:val="0"/>
        <w:sz w:val="32"/>
        <w:szCs w:val="24"/>
      </w:rPr>
    </w:lvl>
    <w:lvl w:ilvl="1" w:tentative="1">
      <w:start w:val="1"/>
      <w:numFmt w:val="lowerLetter"/>
      <w:lvlText w:val="%2)"/>
      <w:lvlJc w:val="left"/>
      <w:pPr>
        <w:ind w:left="3251" w:hanging="420"/>
      </w:pPr>
      <w:rPr>
        <w:rFonts w:hint="eastAsia"/>
      </w:rPr>
    </w:lvl>
    <w:lvl w:ilvl="2" w:tentative="1">
      <w:start w:val="1"/>
      <w:numFmt w:val="lowerRoman"/>
      <w:lvlText w:val="%3."/>
      <w:lvlJc w:val="right"/>
      <w:pPr>
        <w:ind w:left="3671" w:hanging="420"/>
      </w:pPr>
      <w:rPr>
        <w:rFonts w:hint="eastAsia"/>
      </w:rPr>
    </w:lvl>
    <w:lvl w:ilvl="3" w:tentative="1">
      <w:start w:val="1"/>
      <w:numFmt w:val="decimal"/>
      <w:lvlText w:val="%4."/>
      <w:lvlJc w:val="left"/>
      <w:pPr>
        <w:ind w:left="4091" w:hanging="420"/>
      </w:pPr>
      <w:rPr>
        <w:rFonts w:hint="eastAsia"/>
      </w:rPr>
    </w:lvl>
    <w:lvl w:ilvl="4" w:tentative="1">
      <w:start w:val="1"/>
      <w:numFmt w:val="lowerLetter"/>
      <w:lvlText w:val="%5)"/>
      <w:lvlJc w:val="left"/>
      <w:pPr>
        <w:ind w:left="4511" w:hanging="420"/>
      </w:pPr>
      <w:rPr>
        <w:rFonts w:hint="eastAsia"/>
      </w:rPr>
    </w:lvl>
    <w:lvl w:ilvl="5" w:tentative="1">
      <w:start w:val="1"/>
      <w:numFmt w:val="lowerRoman"/>
      <w:lvlText w:val="%6."/>
      <w:lvlJc w:val="right"/>
      <w:pPr>
        <w:ind w:left="4931" w:hanging="420"/>
      </w:pPr>
      <w:rPr>
        <w:rFonts w:hint="eastAsia"/>
      </w:rPr>
    </w:lvl>
    <w:lvl w:ilvl="6" w:tentative="1">
      <w:start w:val="1"/>
      <w:numFmt w:val="decimal"/>
      <w:lvlText w:val="%7."/>
      <w:lvlJc w:val="left"/>
      <w:pPr>
        <w:ind w:left="5351" w:hanging="420"/>
      </w:pPr>
      <w:rPr>
        <w:rFonts w:hint="eastAsia"/>
      </w:rPr>
    </w:lvl>
    <w:lvl w:ilvl="7" w:tentative="1">
      <w:start w:val="1"/>
      <w:numFmt w:val="lowerLetter"/>
      <w:lvlText w:val="%8)"/>
      <w:lvlJc w:val="left"/>
      <w:pPr>
        <w:ind w:left="5771" w:hanging="420"/>
      </w:pPr>
      <w:rPr>
        <w:rFonts w:hint="eastAsia"/>
      </w:rPr>
    </w:lvl>
    <w:lvl w:ilvl="8" w:tentative="1">
      <w:start w:val="1"/>
      <w:numFmt w:val="lowerRoman"/>
      <w:lvlText w:val="%9."/>
      <w:lvlJc w:val="right"/>
      <w:pPr>
        <w:ind w:left="6191" w:hanging="420"/>
      </w:pPr>
      <w:rPr>
        <w:rFonts w:hint="eastAsia"/>
      </w:rPr>
    </w:lvl>
  </w:abstractNum>
  <w:abstractNum w:abstractNumId="600575165">
    <w:nsid w:val="23CC0CBD"/>
    <w:multiLevelType w:val="multilevel"/>
    <w:tmpl w:val="23CC0CBD"/>
    <w:lvl w:ilvl="0" w:tentative="1">
      <w:start w:val="1"/>
      <w:numFmt w:val="decimal"/>
      <w:suff w:val="nothing"/>
      <w:lvlText w:val="%1."/>
      <w:lvlJc w:val="left"/>
      <w:pPr>
        <w:tabs>
          <w:tab w:val="left" w:pos="0"/>
        </w:tabs>
        <w:ind w:left="1745" w:hanging="1178"/>
      </w:pPr>
      <w:rPr>
        <w:rFonts w:hint="default" w:ascii="仿宋" w:hAnsi="仿宋" w:eastAsia="仿宋_GB2312" w:cs="仿宋"/>
        <w:b w:val="0"/>
        <w:bCs/>
        <w:w w:val="100"/>
        <w:sz w:val="32"/>
        <w:szCs w:val="28"/>
        <w:lang w:val="zh-CN" w:eastAsia="zh-CN" w:bidi="zh-CN"/>
      </w:rPr>
    </w:lvl>
    <w:lvl w:ilvl="1" w:tentative="1">
      <w:start w:val="0"/>
      <w:numFmt w:val="bullet"/>
      <w:lvlText w:val="•"/>
      <w:lvlJc w:val="left"/>
      <w:pPr>
        <w:ind w:left="2634" w:hanging="181"/>
      </w:pPr>
      <w:rPr>
        <w:rFonts w:hint="default"/>
        <w:lang w:val="zh-CN" w:eastAsia="zh-CN" w:bidi="zh-CN"/>
      </w:rPr>
    </w:lvl>
    <w:lvl w:ilvl="2" w:tentative="1">
      <w:start w:val="0"/>
      <w:numFmt w:val="bullet"/>
      <w:lvlText w:val="•"/>
      <w:lvlJc w:val="left"/>
      <w:pPr>
        <w:ind w:left="3529" w:hanging="181"/>
      </w:pPr>
      <w:rPr>
        <w:rFonts w:hint="default"/>
        <w:lang w:val="zh-CN" w:eastAsia="zh-CN" w:bidi="zh-CN"/>
      </w:rPr>
    </w:lvl>
    <w:lvl w:ilvl="3" w:tentative="1">
      <w:start w:val="0"/>
      <w:numFmt w:val="bullet"/>
      <w:lvlText w:val="•"/>
      <w:lvlJc w:val="left"/>
      <w:pPr>
        <w:ind w:left="4423" w:hanging="181"/>
      </w:pPr>
      <w:rPr>
        <w:rFonts w:hint="default"/>
        <w:lang w:val="zh-CN" w:eastAsia="zh-CN" w:bidi="zh-CN"/>
      </w:rPr>
    </w:lvl>
    <w:lvl w:ilvl="4" w:tentative="1">
      <w:start w:val="0"/>
      <w:numFmt w:val="bullet"/>
      <w:lvlText w:val="•"/>
      <w:lvlJc w:val="left"/>
      <w:pPr>
        <w:ind w:left="5318" w:hanging="181"/>
      </w:pPr>
      <w:rPr>
        <w:rFonts w:hint="default"/>
        <w:lang w:val="zh-CN" w:eastAsia="zh-CN" w:bidi="zh-CN"/>
      </w:rPr>
    </w:lvl>
    <w:lvl w:ilvl="5" w:tentative="1">
      <w:start w:val="0"/>
      <w:numFmt w:val="bullet"/>
      <w:lvlText w:val="•"/>
      <w:lvlJc w:val="left"/>
      <w:pPr>
        <w:ind w:left="6213" w:hanging="181"/>
      </w:pPr>
      <w:rPr>
        <w:rFonts w:hint="default"/>
        <w:lang w:val="zh-CN" w:eastAsia="zh-CN" w:bidi="zh-CN"/>
      </w:rPr>
    </w:lvl>
    <w:lvl w:ilvl="6" w:tentative="1">
      <w:start w:val="0"/>
      <w:numFmt w:val="bullet"/>
      <w:lvlText w:val="•"/>
      <w:lvlJc w:val="left"/>
      <w:pPr>
        <w:ind w:left="7107" w:hanging="181"/>
      </w:pPr>
      <w:rPr>
        <w:rFonts w:hint="default"/>
        <w:lang w:val="zh-CN" w:eastAsia="zh-CN" w:bidi="zh-CN"/>
      </w:rPr>
    </w:lvl>
    <w:lvl w:ilvl="7" w:tentative="1">
      <w:start w:val="0"/>
      <w:numFmt w:val="bullet"/>
      <w:lvlText w:val="•"/>
      <w:lvlJc w:val="left"/>
      <w:pPr>
        <w:ind w:left="8002" w:hanging="181"/>
      </w:pPr>
      <w:rPr>
        <w:rFonts w:hint="default"/>
        <w:lang w:val="zh-CN" w:eastAsia="zh-CN" w:bidi="zh-CN"/>
      </w:rPr>
    </w:lvl>
    <w:lvl w:ilvl="8" w:tentative="1">
      <w:start w:val="0"/>
      <w:numFmt w:val="bullet"/>
      <w:lvlText w:val="•"/>
      <w:lvlJc w:val="left"/>
      <w:pPr>
        <w:ind w:left="8897" w:hanging="181"/>
      </w:pPr>
      <w:rPr>
        <w:rFonts w:hint="default"/>
        <w:lang w:val="zh-CN" w:eastAsia="zh-CN" w:bidi="zh-CN"/>
      </w:rPr>
    </w:lvl>
  </w:abstractNum>
  <w:abstractNum w:abstractNumId="1721003293">
    <w:nsid w:val="66946D1D"/>
    <w:multiLevelType w:val="multilevel"/>
    <w:tmpl w:val="66946D1D"/>
    <w:lvl w:ilvl="0" w:tentative="1">
      <w:start w:val="1"/>
      <w:numFmt w:val="decimal"/>
      <w:suff w:val="nothing"/>
      <w:lvlText w:val="%1."/>
      <w:lvlJc w:val="left"/>
      <w:pPr>
        <w:tabs>
          <w:tab w:val="left" w:pos="0"/>
        </w:tabs>
        <w:ind w:left="1745" w:hanging="1178"/>
      </w:pPr>
      <w:rPr>
        <w:rFonts w:hint="default" w:ascii="仿宋" w:hAnsi="仿宋" w:eastAsia="仿宋_GB2312" w:cs="仿宋"/>
        <w:b w:val="0"/>
        <w:bCs/>
        <w:w w:val="100"/>
        <w:sz w:val="32"/>
        <w:szCs w:val="28"/>
        <w:lang w:val="zh-CN" w:eastAsia="zh-CN" w:bidi="zh-CN"/>
      </w:rPr>
    </w:lvl>
    <w:lvl w:ilvl="1" w:tentative="1">
      <w:start w:val="0"/>
      <w:numFmt w:val="bullet"/>
      <w:lvlText w:val="•"/>
      <w:lvlJc w:val="left"/>
      <w:pPr>
        <w:ind w:left="2634" w:hanging="181"/>
      </w:pPr>
      <w:rPr>
        <w:rFonts w:hint="default"/>
        <w:lang w:val="zh-CN" w:eastAsia="zh-CN" w:bidi="zh-CN"/>
      </w:rPr>
    </w:lvl>
    <w:lvl w:ilvl="2" w:tentative="1">
      <w:start w:val="0"/>
      <w:numFmt w:val="bullet"/>
      <w:lvlText w:val="•"/>
      <w:lvlJc w:val="left"/>
      <w:pPr>
        <w:ind w:left="3529" w:hanging="181"/>
      </w:pPr>
      <w:rPr>
        <w:rFonts w:hint="default"/>
        <w:lang w:val="zh-CN" w:eastAsia="zh-CN" w:bidi="zh-CN"/>
      </w:rPr>
    </w:lvl>
    <w:lvl w:ilvl="3" w:tentative="1">
      <w:start w:val="0"/>
      <w:numFmt w:val="bullet"/>
      <w:lvlText w:val="•"/>
      <w:lvlJc w:val="left"/>
      <w:pPr>
        <w:ind w:left="4423" w:hanging="181"/>
      </w:pPr>
      <w:rPr>
        <w:rFonts w:hint="default"/>
        <w:lang w:val="zh-CN" w:eastAsia="zh-CN" w:bidi="zh-CN"/>
      </w:rPr>
    </w:lvl>
    <w:lvl w:ilvl="4" w:tentative="1">
      <w:start w:val="0"/>
      <w:numFmt w:val="bullet"/>
      <w:lvlText w:val="•"/>
      <w:lvlJc w:val="left"/>
      <w:pPr>
        <w:ind w:left="5318" w:hanging="181"/>
      </w:pPr>
      <w:rPr>
        <w:rFonts w:hint="default"/>
        <w:lang w:val="zh-CN" w:eastAsia="zh-CN" w:bidi="zh-CN"/>
      </w:rPr>
    </w:lvl>
    <w:lvl w:ilvl="5" w:tentative="1">
      <w:start w:val="0"/>
      <w:numFmt w:val="bullet"/>
      <w:lvlText w:val="•"/>
      <w:lvlJc w:val="left"/>
      <w:pPr>
        <w:ind w:left="6213" w:hanging="181"/>
      </w:pPr>
      <w:rPr>
        <w:rFonts w:hint="default"/>
        <w:lang w:val="zh-CN" w:eastAsia="zh-CN" w:bidi="zh-CN"/>
      </w:rPr>
    </w:lvl>
    <w:lvl w:ilvl="6" w:tentative="1">
      <w:start w:val="0"/>
      <w:numFmt w:val="bullet"/>
      <w:lvlText w:val="•"/>
      <w:lvlJc w:val="left"/>
      <w:pPr>
        <w:ind w:left="7107" w:hanging="181"/>
      </w:pPr>
      <w:rPr>
        <w:rFonts w:hint="default"/>
        <w:lang w:val="zh-CN" w:eastAsia="zh-CN" w:bidi="zh-CN"/>
      </w:rPr>
    </w:lvl>
    <w:lvl w:ilvl="7" w:tentative="1">
      <w:start w:val="0"/>
      <w:numFmt w:val="bullet"/>
      <w:lvlText w:val="•"/>
      <w:lvlJc w:val="left"/>
      <w:pPr>
        <w:ind w:left="8002" w:hanging="181"/>
      </w:pPr>
      <w:rPr>
        <w:rFonts w:hint="default"/>
        <w:lang w:val="zh-CN" w:eastAsia="zh-CN" w:bidi="zh-CN"/>
      </w:rPr>
    </w:lvl>
    <w:lvl w:ilvl="8" w:tentative="1">
      <w:start w:val="0"/>
      <w:numFmt w:val="bullet"/>
      <w:lvlText w:val="•"/>
      <w:lvlJc w:val="left"/>
      <w:pPr>
        <w:ind w:left="8897" w:hanging="181"/>
      </w:pPr>
      <w:rPr>
        <w:rFonts w:hint="default"/>
        <w:lang w:val="zh-CN" w:eastAsia="zh-CN" w:bidi="zh-CN"/>
      </w:rPr>
    </w:lvl>
  </w:abstractNum>
  <w:abstractNum w:abstractNumId="2080381211">
    <w:nsid w:val="7C00191B"/>
    <w:multiLevelType w:val="multilevel"/>
    <w:tmpl w:val="7C00191B"/>
    <w:lvl w:ilvl="0" w:tentative="1">
      <w:start w:val="1"/>
      <w:numFmt w:val="decimal"/>
      <w:suff w:val="nothing"/>
      <w:lvlText w:val="%1."/>
      <w:lvlJc w:val="left"/>
      <w:pPr>
        <w:tabs>
          <w:tab w:val="left" w:pos="0"/>
        </w:tabs>
        <w:ind w:left="1745" w:hanging="1178"/>
      </w:pPr>
      <w:rPr>
        <w:rFonts w:hint="default" w:ascii="仿宋" w:hAnsi="仿宋" w:eastAsia="仿宋_GB2312" w:cs="仿宋"/>
        <w:b w:val="0"/>
        <w:bCs/>
        <w:w w:val="100"/>
        <w:sz w:val="32"/>
        <w:szCs w:val="28"/>
        <w:lang w:val="zh-CN" w:eastAsia="zh-CN" w:bidi="zh-CN"/>
      </w:rPr>
    </w:lvl>
    <w:lvl w:ilvl="1" w:tentative="1">
      <w:start w:val="0"/>
      <w:numFmt w:val="bullet"/>
      <w:lvlText w:val="•"/>
      <w:lvlJc w:val="left"/>
      <w:pPr>
        <w:ind w:left="2634" w:hanging="181"/>
      </w:pPr>
      <w:rPr>
        <w:rFonts w:hint="default"/>
        <w:lang w:val="zh-CN" w:eastAsia="zh-CN" w:bidi="zh-CN"/>
      </w:rPr>
    </w:lvl>
    <w:lvl w:ilvl="2" w:tentative="1">
      <w:start w:val="0"/>
      <w:numFmt w:val="bullet"/>
      <w:lvlText w:val="•"/>
      <w:lvlJc w:val="left"/>
      <w:pPr>
        <w:ind w:left="3529" w:hanging="181"/>
      </w:pPr>
      <w:rPr>
        <w:rFonts w:hint="default"/>
        <w:lang w:val="zh-CN" w:eastAsia="zh-CN" w:bidi="zh-CN"/>
      </w:rPr>
    </w:lvl>
    <w:lvl w:ilvl="3" w:tentative="1">
      <w:start w:val="0"/>
      <w:numFmt w:val="bullet"/>
      <w:lvlText w:val="•"/>
      <w:lvlJc w:val="left"/>
      <w:pPr>
        <w:ind w:left="4423" w:hanging="181"/>
      </w:pPr>
      <w:rPr>
        <w:rFonts w:hint="default"/>
        <w:lang w:val="zh-CN" w:eastAsia="zh-CN" w:bidi="zh-CN"/>
      </w:rPr>
    </w:lvl>
    <w:lvl w:ilvl="4" w:tentative="1">
      <w:start w:val="0"/>
      <w:numFmt w:val="bullet"/>
      <w:lvlText w:val="•"/>
      <w:lvlJc w:val="left"/>
      <w:pPr>
        <w:ind w:left="5318" w:hanging="181"/>
      </w:pPr>
      <w:rPr>
        <w:rFonts w:hint="default"/>
        <w:lang w:val="zh-CN" w:eastAsia="zh-CN" w:bidi="zh-CN"/>
      </w:rPr>
    </w:lvl>
    <w:lvl w:ilvl="5" w:tentative="1">
      <w:start w:val="0"/>
      <w:numFmt w:val="bullet"/>
      <w:lvlText w:val="•"/>
      <w:lvlJc w:val="left"/>
      <w:pPr>
        <w:ind w:left="6213" w:hanging="181"/>
      </w:pPr>
      <w:rPr>
        <w:rFonts w:hint="default"/>
        <w:lang w:val="zh-CN" w:eastAsia="zh-CN" w:bidi="zh-CN"/>
      </w:rPr>
    </w:lvl>
    <w:lvl w:ilvl="6" w:tentative="1">
      <w:start w:val="0"/>
      <w:numFmt w:val="bullet"/>
      <w:lvlText w:val="•"/>
      <w:lvlJc w:val="left"/>
      <w:pPr>
        <w:ind w:left="7107" w:hanging="181"/>
      </w:pPr>
      <w:rPr>
        <w:rFonts w:hint="default"/>
        <w:lang w:val="zh-CN" w:eastAsia="zh-CN" w:bidi="zh-CN"/>
      </w:rPr>
    </w:lvl>
    <w:lvl w:ilvl="7" w:tentative="1">
      <w:start w:val="0"/>
      <w:numFmt w:val="bullet"/>
      <w:lvlText w:val="•"/>
      <w:lvlJc w:val="left"/>
      <w:pPr>
        <w:ind w:left="8002" w:hanging="181"/>
      </w:pPr>
      <w:rPr>
        <w:rFonts w:hint="default"/>
        <w:lang w:val="zh-CN" w:eastAsia="zh-CN" w:bidi="zh-CN"/>
      </w:rPr>
    </w:lvl>
    <w:lvl w:ilvl="8" w:tentative="1">
      <w:start w:val="0"/>
      <w:numFmt w:val="bullet"/>
      <w:lvlText w:val="•"/>
      <w:lvlJc w:val="left"/>
      <w:pPr>
        <w:ind w:left="8897" w:hanging="181"/>
      </w:pPr>
      <w:rPr>
        <w:rFonts w:hint="default"/>
        <w:lang w:val="zh-CN" w:eastAsia="zh-CN" w:bidi="zh-CN"/>
      </w:rPr>
    </w:lvl>
  </w:abstractNum>
  <w:abstractNum w:abstractNumId="3141755129">
    <w:nsid w:val="BB4360F9"/>
    <w:multiLevelType w:val="multilevel"/>
    <w:tmpl w:val="BB4360F9"/>
    <w:lvl w:ilvl="0" w:tentative="1">
      <w:start w:val="1"/>
      <w:numFmt w:val="decimal"/>
      <w:suff w:val="nothing"/>
      <w:lvlText w:val="%1."/>
      <w:lvlJc w:val="left"/>
      <w:pPr>
        <w:tabs>
          <w:tab w:val="left" w:pos="0"/>
        </w:tabs>
        <w:ind w:left="1745" w:hanging="1178"/>
      </w:pPr>
      <w:rPr>
        <w:rFonts w:hint="default" w:ascii="仿宋" w:hAnsi="仿宋" w:eastAsia="仿宋_GB2312" w:cs="仿宋"/>
        <w:b w:val="0"/>
        <w:bCs/>
        <w:w w:val="100"/>
        <w:sz w:val="32"/>
        <w:szCs w:val="28"/>
        <w:lang w:val="zh-CN" w:eastAsia="zh-CN" w:bidi="zh-CN"/>
      </w:rPr>
    </w:lvl>
    <w:lvl w:ilvl="1" w:tentative="1">
      <w:start w:val="0"/>
      <w:numFmt w:val="bullet"/>
      <w:lvlText w:val="•"/>
      <w:lvlJc w:val="left"/>
      <w:pPr>
        <w:ind w:left="2634" w:hanging="181"/>
      </w:pPr>
      <w:rPr>
        <w:rFonts w:hint="default"/>
        <w:lang w:val="zh-CN" w:eastAsia="zh-CN" w:bidi="zh-CN"/>
      </w:rPr>
    </w:lvl>
    <w:lvl w:ilvl="2" w:tentative="1">
      <w:start w:val="0"/>
      <w:numFmt w:val="bullet"/>
      <w:lvlText w:val="•"/>
      <w:lvlJc w:val="left"/>
      <w:pPr>
        <w:ind w:left="3529" w:hanging="181"/>
      </w:pPr>
      <w:rPr>
        <w:rFonts w:hint="default"/>
        <w:lang w:val="zh-CN" w:eastAsia="zh-CN" w:bidi="zh-CN"/>
      </w:rPr>
    </w:lvl>
    <w:lvl w:ilvl="3" w:tentative="1">
      <w:start w:val="0"/>
      <w:numFmt w:val="bullet"/>
      <w:lvlText w:val="•"/>
      <w:lvlJc w:val="left"/>
      <w:pPr>
        <w:ind w:left="4423" w:hanging="181"/>
      </w:pPr>
      <w:rPr>
        <w:rFonts w:hint="default"/>
        <w:lang w:val="zh-CN" w:eastAsia="zh-CN" w:bidi="zh-CN"/>
      </w:rPr>
    </w:lvl>
    <w:lvl w:ilvl="4" w:tentative="1">
      <w:start w:val="0"/>
      <w:numFmt w:val="bullet"/>
      <w:lvlText w:val="•"/>
      <w:lvlJc w:val="left"/>
      <w:pPr>
        <w:ind w:left="5318" w:hanging="181"/>
      </w:pPr>
      <w:rPr>
        <w:rFonts w:hint="default"/>
        <w:lang w:val="zh-CN" w:eastAsia="zh-CN" w:bidi="zh-CN"/>
      </w:rPr>
    </w:lvl>
    <w:lvl w:ilvl="5" w:tentative="1">
      <w:start w:val="0"/>
      <w:numFmt w:val="bullet"/>
      <w:lvlText w:val="•"/>
      <w:lvlJc w:val="left"/>
      <w:pPr>
        <w:ind w:left="6213" w:hanging="181"/>
      </w:pPr>
      <w:rPr>
        <w:rFonts w:hint="default"/>
        <w:lang w:val="zh-CN" w:eastAsia="zh-CN" w:bidi="zh-CN"/>
      </w:rPr>
    </w:lvl>
    <w:lvl w:ilvl="6" w:tentative="1">
      <w:start w:val="0"/>
      <w:numFmt w:val="bullet"/>
      <w:lvlText w:val="•"/>
      <w:lvlJc w:val="left"/>
      <w:pPr>
        <w:ind w:left="7107" w:hanging="181"/>
      </w:pPr>
      <w:rPr>
        <w:rFonts w:hint="default"/>
        <w:lang w:val="zh-CN" w:eastAsia="zh-CN" w:bidi="zh-CN"/>
      </w:rPr>
    </w:lvl>
    <w:lvl w:ilvl="7" w:tentative="1">
      <w:start w:val="0"/>
      <w:numFmt w:val="bullet"/>
      <w:lvlText w:val="•"/>
      <w:lvlJc w:val="left"/>
      <w:pPr>
        <w:ind w:left="8002" w:hanging="181"/>
      </w:pPr>
      <w:rPr>
        <w:rFonts w:hint="default"/>
        <w:lang w:val="zh-CN" w:eastAsia="zh-CN" w:bidi="zh-CN"/>
      </w:rPr>
    </w:lvl>
    <w:lvl w:ilvl="8" w:tentative="1">
      <w:start w:val="0"/>
      <w:numFmt w:val="bullet"/>
      <w:lvlText w:val="•"/>
      <w:lvlJc w:val="left"/>
      <w:pPr>
        <w:ind w:left="8897" w:hanging="181"/>
      </w:pPr>
      <w:rPr>
        <w:rFonts w:hint="default"/>
        <w:lang w:val="zh-CN" w:eastAsia="zh-CN" w:bidi="zh-CN"/>
      </w:rPr>
    </w:lvl>
  </w:abstractNum>
  <w:abstractNum w:abstractNumId="2346320495">
    <w:nsid w:val="8BDA026F"/>
    <w:multiLevelType w:val="multilevel"/>
    <w:tmpl w:val="8BDA026F"/>
    <w:lvl w:ilvl="0" w:tentative="1">
      <w:start w:val="1"/>
      <w:numFmt w:val="decimal"/>
      <w:suff w:val="nothing"/>
      <w:lvlText w:val="%1."/>
      <w:lvlJc w:val="left"/>
      <w:pPr>
        <w:tabs>
          <w:tab w:val="left" w:pos="0"/>
        </w:tabs>
        <w:ind w:left="1745" w:hanging="1178"/>
      </w:pPr>
      <w:rPr>
        <w:rFonts w:hint="default" w:ascii="仿宋" w:hAnsi="仿宋" w:eastAsia="仿宋_GB2312" w:cs="仿宋"/>
        <w:b w:val="0"/>
        <w:bCs/>
        <w:w w:val="100"/>
        <w:sz w:val="32"/>
        <w:szCs w:val="28"/>
        <w:lang w:val="zh-CN" w:eastAsia="zh-CN" w:bidi="zh-CN"/>
      </w:rPr>
    </w:lvl>
    <w:lvl w:ilvl="1" w:tentative="1">
      <w:start w:val="0"/>
      <w:numFmt w:val="bullet"/>
      <w:lvlText w:val="•"/>
      <w:lvlJc w:val="left"/>
      <w:pPr>
        <w:ind w:left="2634" w:hanging="181"/>
      </w:pPr>
      <w:rPr>
        <w:rFonts w:hint="default"/>
        <w:lang w:val="zh-CN" w:eastAsia="zh-CN" w:bidi="zh-CN"/>
      </w:rPr>
    </w:lvl>
    <w:lvl w:ilvl="2" w:tentative="1">
      <w:start w:val="0"/>
      <w:numFmt w:val="bullet"/>
      <w:lvlText w:val="•"/>
      <w:lvlJc w:val="left"/>
      <w:pPr>
        <w:ind w:left="3529" w:hanging="181"/>
      </w:pPr>
      <w:rPr>
        <w:rFonts w:hint="default"/>
        <w:lang w:val="zh-CN" w:eastAsia="zh-CN" w:bidi="zh-CN"/>
      </w:rPr>
    </w:lvl>
    <w:lvl w:ilvl="3" w:tentative="1">
      <w:start w:val="0"/>
      <w:numFmt w:val="bullet"/>
      <w:lvlText w:val="•"/>
      <w:lvlJc w:val="left"/>
      <w:pPr>
        <w:ind w:left="4423" w:hanging="181"/>
      </w:pPr>
      <w:rPr>
        <w:rFonts w:hint="default"/>
        <w:lang w:val="zh-CN" w:eastAsia="zh-CN" w:bidi="zh-CN"/>
      </w:rPr>
    </w:lvl>
    <w:lvl w:ilvl="4" w:tentative="1">
      <w:start w:val="0"/>
      <w:numFmt w:val="bullet"/>
      <w:lvlText w:val="•"/>
      <w:lvlJc w:val="left"/>
      <w:pPr>
        <w:ind w:left="5318" w:hanging="181"/>
      </w:pPr>
      <w:rPr>
        <w:rFonts w:hint="default"/>
        <w:lang w:val="zh-CN" w:eastAsia="zh-CN" w:bidi="zh-CN"/>
      </w:rPr>
    </w:lvl>
    <w:lvl w:ilvl="5" w:tentative="1">
      <w:start w:val="0"/>
      <w:numFmt w:val="bullet"/>
      <w:lvlText w:val="•"/>
      <w:lvlJc w:val="left"/>
      <w:pPr>
        <w:ind w:left="6213" w:hanging="181"/>
      </w:pPr>
      <w:rPr>
        <w:rFonts w:hint="default"/>
        <w:lang w:val="zh-CN" w:eastAsia="zh-CN" w:bidi="zh-CN"/>
      </w:rPr>
    </w:lvl>
    <w:lvl w:ilvl="6" w:tentative="1">
      <w:start w:val="0"/>
      <w:numFmt w:val="bullet"/>
      <w:lvlText w:val="•"/>
      <w:lvlJc w:val="left"/>
      <w:pPr>
        <w:ind w:left="7107" w:hanging="181"/>
      </w:pPr>
      <w:rPr>
        <w:rFonts w:hint="default"/>
        <w:lang w:val="zh-CN" w:eastAsia="zh-CN" w:bidi="zh-CN"/>
      </w:rPr>
    </w:lvl>
    <w:lvl w:ilvl="7" w:tentative="1">
      <w:start w:val="0"/>
      <w:numFmt w:val="bullet"/>
      <w:lvlText w:val="•"/>
      <w:lvlJc w:val="left"/>
      <w:pPr>
        <w:ind w:left="8002" w:hanging="181"/>
      </w:pPr>
      <w:rPr>
        <w:rFonts w:hint="default"/>
        <w:lang w:val="zh-CN" w:eastAsia="zh-CN" w:bidi="zh-CN"/>
      </w:rPr>
    </w:lvl>
    <w:lvl w:ilvl="8" w:tentative="1">
      <w:start w:val="0"/>
      <w:numFmt w:val="bullet"/>
      <w:lvlText w:val="•"/>
      <w:lvlJc w:val="left"/>
      <w:pPr>
        <w:ind w:left="8897" w:hanging="181"/>
      </w:pPr>
      <w:rPr>
        <w:rFonts w:hint="default"/>
        <w:lang w:val="zh-CN" w:eastAsia="zh-CN" w:bidi="zh-CN"/>
      </w:rPr>
    </w:lvl>
  </w:abstractNum>
  <w:abstractNum w:abstractNumId="295881675">
    <w:nsid w:val="11A2CBCB"/>
    <w:multiLevelType w:val="singleLevel"/>
    <w:tmpl w:val="11A2CBCB"/>
    <w:lvl w:ilvl="0" w:tentative="1">
      <w:start w:val="1"/>
      <w:numFmt w:val="decimal"/>
      <w:suff w:val="nothing"/>
      <w:lvlText w:val="（%1）"/>
      <w:lvlJc w:val="left"/>
    </w:lvl>
  </w:abstractNum>
  <w:abstractNum w:abstractNumId="2769895820">
    <w:nsid w:val="A519418C"/>
    <w:multiLevelType w:val="multilevel"/>
    <w:tmpl w:val="A519418C"/>
    <w:lvl w:ilvl="0" w:tentative="1">
      <w:start w:val="1"/>
      <w:numFmt w:val="decimal"/>
      <w:suff w:val="nothing"/>
      <w:lvlText w:val="%1."/>
      <w:lvlJc w:val="left"/>
      <w:pPr>
        <w:tabs>
          <w:tab w:val="left" w:pos="0"/>
        </w:tabs>
        <w:ind w:left="1745" w:hanging="1178"/>
      </w:pPr>
      <w:rPr>
        <w:rFonts w:hint="default" w:ascii="仿宋" w:hAnsi="仿宋" w:eastAsia="仿宋_GB2312" w:cs="仿宋"/>
        <w:b w:val="0"/>
        <w:bCs/>
        <w:w w:val="100"/>
        <w:sz w:val="32"/>
        <w:szCs w:val="28"/>
        <w:lang w:val="zh-CN" w:eastAsia="zh-CN" w:bidi="zh-CN"/>
      </w:rPr>
    </w:lvl>
    <w:lvl w:ilvl="1" w:tentative="1">
      <w:start w:val="0"/>
      <w:numFmt w:val="bullet"/>
      <w:lvlText w:val="•"/>
      <w:lvlJc w:val="left"/>
      <w:pPr>
        <w:ind w:left="2634" w:hanging="181"/>
      </w:pPr>
      <w:rPr>
        <w:rFonts w:hint="default"/>
        <w:lang w:val="zh-CN" w:eastAsia="zh-CN" w:bidi="zh-CN"/>
      </w:rPr>
    </w:lvl>
    <w:lvl w:ilvl="2" w:tentative="1">
      <w:start w:val="0"/>
      <w:numFmt w:val="bullet"/>
      <w:lvlText w:val="•"/>
      <w:lvlJc w:val="left"/>
      <w:pPr>
        <w:ind w:left="3529" w:hanging="181"/>
      </w:pPr>
      <w:rPr>
        <w:rFonts w:hint="default"/>
        <w:lang w:val="zh-CN" w:eastAsia="zh-CN" w:bidi="zh-CN"/>
      </w:rPr>
    </w:lvl>
    <w:lvl w:ilvl="3" w:tentative="1">
      <w:start w:val="0"/>
      <w:numFmt w:val="bullet"/>
      <w:lvlText w:val="•"/>
      <w:lvlJc w:val="left"/>
      <w:pPr>
        <w:ind w:left="4423" w:hanging="181"/>
      </w:pPr>
      <w:rPr>
        <w:rFonts w:hint="default"/>
        <w:lang w:val="zh-CN" w:eastAsia="zh-CN" w:bidi="zh-CN"/>
      </w:rPr>
    </w:lvl>
    <w:lvl w:ilvl="4" w:tentative="1">
      <w:start w:val="0"/>
      <w:numFmt w:val="bullet"/>
      <w:lvlText w:val="•"/>
      <w:lvlJc w:val="left"/>
      <w:pPr>
        <w:ind w:left="5318" w:hanging="181"/>
      </w:pPr>
      <w:rPr>
        <w:rFonts w:hint="default"/>
        <w:lang w:val="zh-CN" w:eastAsia="zh-CN" w:bidi="zh-CN"/>
      </w:rPr>
    </w:lvl>
    <w:lvl w:ilvl="5" w:tentative="1">
      <w:start w:val="0"/>
      <w:numFmt w:val="bullet"/>
      <w:lvlText w:val="•"/>
      <w:lvlJc w:val="left"/>
      <w:pPr>
        <w:ind w:left="6213" w:hanging="181"/>
      </w:pPr>
      <w:rPr>
        <w:rFonts w:hint="default"/>
        <w:lang w:val="zh-CN" w:eastAsia="zh-CN" w:bidi="zh-CN"/>
      </w:rPr>
    </w:lvl>
    <w:lvl w:ilvl="6" w:tentative="1">
      <w:start w:val="0"/>
      <w:numFmt w:val="bullet"/>
      <w:lvlText w:val="•"/>
      <w:lvlJc w:val="left"/>
      <w:pPr>
        <w:ind w:left="7107" w:hanging="181"/>
      </w:pPr>
      <w:rPr>
        <w:rFonts w:hint="default"/>
        <w:lang w:val="zh-CN" w:eastAsia="zh-CN" w:bidi="zh-CN"/>
      </w:rPr>
    </w:lvl>
    <w:lvl w:ilvl="7" w:tentative="1">
      <w:start w:val="0"/>
      <w:numFmt w:val="bullet"/>
      <w:lvlText w:val="•"/>
      <w:lvlJc w:val="left"/>
      <w:pPr>
        <w:ind w:left="8002" w:hanging="181"/>
      </w:pPr>
      <w:rPr>
        <w:rFonts w:hint="default"/>
        <w:lang w:val="zh-CN" w:eastAsia="zh-CN" w:bidi="zh-CN"/>
      </w:rPr>
    </w:lvl>
    <w:lvl w:ilvl="8" w:tentative="1">
      <w:start w:val="0"/>
      <w:numFmt w:val="bullet"/>
      <w:lvlText w:val="•"/>
      <w:lvlJc w:val="left"/>
      <w:pPr>
        <w:ind w:left="8897" w:hanging="181"/>
      </w:pPr>
      <w:rPr>
        <w:rFonts w:hint="default"/>
        <w:lang w:val="zh-CN" w:eastAsia="zh-CN" w:bidi="zh-CN"/>
      </w:rPr>
    </w:lvl>
  </w:abstractNum>
  <w:abstractNum w:abstractNumId="1290525151">
    <w:nsid w:val="4CEBD9DF"/>
    <w:multiLevelType w:val="multilevel"/>
    <w:tmpl w:val="4CEBD9DF"/>
    <w:lvl w:ilvl="0" w:tentative="1">
      <w:start w:val="1"/>
      <w:numFmt w:val="decimal"/>
      <w:suff w:val="nothing"/>
      <w:lvlText w:val="%1."/>
      <w:lvlJc w:val="left"/>
      <w:pPr>
        <w:tabs>
          <w:tab w:val="left" w:pos="0"/>
        </w:tabs>
        <w:ind w:left="1745" w:hanging="1178"/>
      </w:pPr>
      <w:rPr>
        <w:rFonts w:hint="default" w:ascii="仿宋" w:hAnsi="仿宋" w:eastAsia="仿宋_GB2312" w:cs="仿宋"/>
        <w:b w:val="0"/>
        <w:bCs/>
        <w:w w:val="100"/>
        <w:sz w:val="32"/>
        <w:szCs w:val="28"/>
        <w:lang w:val="zh-CN" w:eastAsia="zh-CN" w:bidi="zh-CN"/>
      </w:rPr>
    </w:lvl>
    <w:lvl w:ilvl="1" w:tentative="1">
      <w:start w:val="0"/>
      <w:numFmt w:val="bullet"/>
      <w:lvlText w:val="•"/>
      <w:lvlJc w:val="left"/>
      <w:pPr>
        <w:ind w:left="2634" w:hanging="181"/>
      </w:pPr>
      <w:rPr>
        <w:rFonts w:hint="default"/>
        <w:lang w:val="zh-CN" w:eastAsia="zh-CN" w:bidi="zh-CN"/>
      </w:rPr>
    </w:lvl>
    <w:lvl w:ilvl="2" w:tentative="1">
      <w:start w:val="0"/>
      <w:numFmt w:val="bullet"/>
      <w:lvlText w:val="•"/>
      <w:lvlJc w:val="left"/>
      <w:pPr>
        <w:ind w:left="3529" w:hanging="181"/>
      </w:pPr>
      <w:rPr>
        <w:rFonts w:hint="default"/>
        <w:lang w:val="zh-CN" w:eastAsia="zh-CN" w:bidi="zh-CN"/>
      </w:rPr>
    </w:lvl>
    <w:lvl w:ilvl="3" w:tentative="1">
      <w:start w:val="0"/>
      <w:numFmt w:val="bullet"/>
      <w:lvlText w:val="•"/>
      <w:lvlJc w:val="left"/>
      <w:pPr>
        <w:ind w:left="4423" w:hanging="181"/>
      </w:pPr>
      <w:rPr>
        <w:rFonts w:hint="default"/>
        <w:lang w:val="zh-CN" w:eastAsia="zh-CN" w:bidi="zh-CN"/>
      </w:rPr>
    </w:lvl>
    <w:lvl w:ilvl="4" w:tentative="1">
      <w:start w:val="0"/>
      <w:numFmt w:val="bullet"/>
      <w:lvlText w:val="•"/>
      <w:lvlJc w:val="left"/>
      <w:pPr>
        <w:ind w:left="5318" w:hanging="181"/>
      </w:pPr>
      <w:rPr>
        <w:rFonts w:hint="default"/>
        <w:lang w:val="zh-CN" w:eastAsia="zh-CN" w:bidi="zh-CN"/>
      </w:rPr>
    </w:lvl>
    <w:lvl w:ilvl="5" w:tentative="1">
      <w:start w:val="0"/>
      <w:numFmt w:val="bullet"/>
      <w:lvlText w:val="•"/>
      <w:lvlJc w:val="left"/>
      <w:pPr>
        <w:ind w:left="6213" w:hanging="181"/>
      </w:pPr>
      <w:rPr>
        <w:rFonts w:hint="default"/>
        <w:lang w:val="zh-CN" w:eastAsia="zh-CN" w:bidi="zh-CN"/>
      </w:rPr>
    </w:lvl>
    <w:lvl w:ilvl="6" w:tentative="1">
      <w:start w:val="0"/>
      <w:numFmt w:val="bullet"/>
      <w:lvlText w:val="•"/>
      <w:lvlJc w:val="left"/>
      <w:pPr>
        <w:ind w:left="7107" w:hanging="181"/>
      </w:pPr>
      <w:rPr>
        <w:rFonts w:hint="default"/>
        <w:lang w:val="zh-CN" w:eastAsia="zh-CN" w:bidi="zh-CN"/>
      </w:rPr>
    </w:lvl>
    <w:lvl w:ilvl="7" w:tentative="1">
      <w:start w:val="0"/>
      <w:numFmt w:val="bullet"/>
      <w:lvlText w:val="•"/>
      <w:lvlJc w:val="left"/>
      <w:pPr>
        <w:ind w:left="8002" w:hanging="181"/>
      </w:pPr>
      <w:rPr>
        <w:rFonts w:hint="default"/>
        <w:lang w:val="zh-CN" w:eastAsia="zh-CN" w:bidi="zh-CN"/>
      </w:rPr>
    </w:lvl>
    <w:lvl w:ilvl="8" w:tentative="1">
      <w:start w:val="0"/>
      <w:numFmt w:val="bullet"/>
      <w:lvlText w:val="•"/>
      <w:lvlJc w:val="left"/>
      <w:pPr>
        <w:ind w:left="8897" w:hanging="181"/>
      </w:pPr>
      <w:rPr>
        <w:rFonts w:hint="default"/>
        <w:lang w:val="zh-CN" w:eastAsia="zh-CN" w:bidi="zh-CN"/>
      </w:rPr>
    </w:lvl>
  </w:abstractNum>
  <w:abstractNum w:abstractNumId="412008343">
    <w:nsid w:val="188EBF97"/>
    <w:multiLevelType w:val="multilevel"/>
    <w:tmpl w:val="188EBF97"/>
    <w:lvl w:ilvl="0" w:tentative="1">
      <w:start w:val="1"/>
      <w:numFmt w:val="decimal"/>
      <w:suff w:val="nothing"/>
      <w:lvlText w:val="%1."/>
      <w:lvlJc w:val="left"/>
      <w:pPr>
        <w:tabs>
          <w:tab w:val="left" w:pos="0"/>
        </w:tabs>
        <w:ind w:left="1745" w:hanging="1178"/>
      </w:pPr>
      <w:rPr>
        <w:rFonts w:hint="default" w:ascii="仿宋" w:hAnsi="仿宋" w:eastAsia="仿宋_GB2312" w:cs="仿宋"/>
        <w:b w:val="0"/>
        <w:bCs/>
        <w:w w:val="100"/>
        <w:sz w:val="32"/>
        <w:szCs w:val="28"/>
        <w:lang w:val="zh-CN" w:eastAsia="zh-CN" w:bidi="zh-CN"/>
      </w:rPr>
    </w:lvl>
    <w:lvl w:ilvl="1" w:tentative="1">
      <w:start w:val="0"/>
      <w:numFmt w:val="bullet"/>
      <w:lvlText w:val="•"/>
      <w:lvlJc w:val="left"/>
      <w:pPr>
        <w:ind w:left="2634" w:hanging="181"/>
      </w:pPr>
      <w:rPr>
        <w:rFonts w:hint="default"/>
        <w:lang w:val="zh-CN" w:eastAsia="zh-CN" w:bidi="zh-CN"/>
      </w:rPr>
    </w:lvl>
    <w:lvl w:ilvl="2" w:tentative="1">
      <w:start w:val="0"/>
      <w:numFmt w:val="bullet"/>
      <w:lvlText w:val="•"/>
      <w:lvlJc w:val="left"/>
      <w:pPr>
        <w:ind w:left="3529" w:hanging="181"/>
      </w:pPr>
      <w:rPr>
        <w:rFonts w:hint="default"/>
        <w:lang w:val="zh-CN" w:eastAsia="zh-CN" w:bidi="zh-CN"/>
      </w:rPr>
    </w:lvl>
    <w:lvl w:ilvl="3" w:tentative="1">
      <w:start w:val="0"/>
      <w:numFmt w:val="bullet"/>
      <w:lvlText w:val="•"/>
      <w:lvlJc w:val="left"/>
      <w:pPr>
        <w:ind w:left="4423" w:hanging="181"/>
      </w:pPr>
      <w:rPr>
        <w:rFonts w:hint="default"/>
        <w:lang w:val="zh-CN" w:eastAsia="zh-CN" w:bidi="zh-CN"/>
      </w:rPr>
    </w:lvl>
    <w:lvl w:ilvl="4" w:tentative="1">
      <w:start w:val="0"/>
      <w:numFmt w:val="bullet"/>
      <w:lvlText w:val="•"/>
      <w:lvlJc w:val="left"/>
      <w:pPr>
        <w:ind w:left="5318" w:hanging="181"/>
      </w:pPr>
      <w:rPr>
        <w:rFonts w:hint="default"/>
        <w:lang w:val="zh-CN" w:eastAsia="zh-CN" w:bidi="zh-CN"/>
      </w:rPr>
    </w:lvl>
    <w:lvl w:ilvl="5" w:tentative="1">
      <w:start w:val="0"/>
      <w:numFmt w:val="bullet"/>
      <w:lvlText w:val="•"/>
      <w:lvlJc w:val="left"/>
      <w:pPr>
        <w:ind w:left="6213" w:hanging="181"/>
      </w:pPr>
      <w:rPr>
        <w:rFonts w:hint="default"/>
        <w:lang w:val="zh-CN" w:eastAsia="zh-CN" w:bidi="zh-CN"/>
      </w:rPr>
    </w:lvl>
    <w:lvl w:ilvl="6" w:tentative="1">
      <w:start w:val="0"/>
      <w:numFmt w:val="bullet"/>
      <w:lvlText w:val="•"/>
      <w:lvlJc w:val="left"/>
      <w:pPr>
        <w:ind w:left="7107" w:hanging="181"/>
      </w:pPr>
      <w:rPr>
        <w:rFonts w:hint="default"/>
        <w:lang w:val="zh-CN" w:eastAsia="zh-CN" w:bidi="zh-CN"/>
      </w:rPr>
    </w:lvl>
    <w:lvl w:ilvl="7" w:tentative="1">
      <w:start w:val="0"/>
      <w:numFmt w:val="bullet"/>
      <w:lvlText w:val="•"/>
      <w:lvlJc w:val="left"/>
      <w:pPr>
        <w:ind w:left="8002" w:hanging="181"/>
      </w:pPr>
      <w:rPr>
        <w:rFonts w:hint="default"/>
        <w:lang w:val="zh-CN" w:eastAsia="zh-CN" w:bidi="zh-CN"/>
      </w:rPr>
    </w:lvl>
    <w:lvl w:ilvl="8" w:tentative="1">
      <w:start w:val="0"/>
      <w:numFmt w:val="bullet"/>
      <w:lvlText w:val="•"/>
      <w:lvlJc w:val="left"/>
      <w:pPr>
        <w:ind w:left="8897" w:hanging="181"/>
      </w:pPr>
      <w:rPr>
        <w:rFonts w:hint="default"/>
        <w:lang w:val="zh-CN" w:eastAsia="zh-CN" w:bidi="zh-CN"/>
      </w:rPr>
    </w:lvl>
  </w:abstractNum>
  <w:abstractNum w:abstractNumId="699609279">
    <w:nsid w:val="29B330BF"/>
    <w:multiLevelType w:val="multilevel"/>
    <w:tmpl w:val="29B330BF"/>
    <w:lvl w:ilvl="0" w:tentative="1">
      <w:start w:val="1"/>
      <w:numFmt w:val="decimal"/>
      <w:suff w:val="nothing"/>
      <w:lvlText w:val="%1."/>
      <w:lvlJc w:val="left"/>
      <w:pPr>
        <w:tabs>
          <w:tab w:val="left" w:pos="0"/>
        </w:tabs>
        <w:ind w:left="1745" w:hanging="1178"/>
      </w:pPr>
      <w:rPr>
        <w:rFonts w:hint="default" w:ascii="仿宋" w:hAnsi="仿宋" w:eastAsia="仿宋_GB2312" w:cs="仿宋"/>
        <w:b w:val="0"/>
        <w:bCs/>
        <w:w w:val="100"/>
        <w:sz w:val="32"/>
        <w:szCs w:val="28"/>
        <w:lang w:val="zh-CN" w:eastAsia="zh-CN" w:bidi="zh-CN"/>
      </w:rPr>
    </w:lvl>
    <w:lvl w:ilvl="1" w:tentative="1">
      <w:start w:val="0"/>
      <w:numFmt w:val="bullet"/>
      <w:lvlText w:val="•"/>
      <w:lvlJc w:val="left"/>
      <w:pPr>
        <w:ind w:left="2634" w:hanging="181"/>
      </w:pPr>
      <w:rPr>
        <w:rFonts w:hint="default"/>
        <w:lang w:val="zh-CN" w:eastAsia="zh-CN" w:bidi="zh-CN"/>
      </w:rPr>
    </w:lvl>
    <w:lvl w:ilvl="2" w:tentative="1">
      <w:start w:val="0"/>
      <w:numFmt w:val="bullet"/>
      <w:lvlText w:val="•"/>
      <w:lvlJc w:val="left"/>
      <w:pPr>
        <w:ind w:left="3529" w:hanging="181"/>
      </w:pPr>
      <w:rPr>
        <w:rFonts w:hint="default"/>
        <w:lang w:val="zh-CN" w:eastAsia="zh-CN" w:bidi="zh-CN"/>
      </w:rPr>
    </w:lvl>
    <w:lvl w:ilvl="3" w:tentative="1">
      <w:start w:val="0"/>
      <w:numFmt w:val="bullet"/>
      <w:lvlText w:val="•"/>
      <w:lvlJc w:val="left"/>
      <w:pPr>
        <w:ind w:left="4423" w:hanging="181"/>
      </w:pPr>
      <w:rPr>
        <w:rFonts w:hint="default"/>
        <w:lang w:val="zh-CN" w:eastAsia="zh-CN" w:bidi="zh-CN"/>
      </w:rPr>
    </w:lvl>
    <w:lvl w:ilvl="4" w:tentative="1">
      <w:start w:val="0"/>
      <w:numFmt w:val="bullet"/>
      <w:lvlText w:val="•"/>
      <w:lvlJc w:val="left"/>
      <w:pPr>
        <w:ind w:left="5318" w:hanging="181"/>
      </w:pPr>
      <w:rPr>
        <w:rFonts w:hint="default"/>
        <w:lang w:val="zh-CN" w:eastAsia="zh-CN" w:bidi="zh-CN"/>
      </w:rPr>
    </w:lvl>
    <w:lvl w:ilvl="5" w:tentative="1">
      <w:start w:val="0"/>
      <w:numFmt w:val="bullet"/>
      <w:lvlText w:val="•"/>
      <w:lvlJc w:val="left"/>
      <w:pPr>
        <w:ind w:left="6213" w:hanging="181"/>
      </w:pPr>
      <w:rPr>
        <w:rFonts w:hint="default"/>
        <w:lang w:val="zh-CN" w:eastAsia="zh-CN" w:bidi="zh-CN"/>
      </w:rPr>
    </w:lvl>
    <w:lvl w:ilvl="6" w:tentative="1">
      <w:start w:val="0"/>
      <w:numFmt w:val="bullet"/>
      <w:lvlText w:val="•"/>
      <w:lvlJc w:val="left"/>
      <w:pPr>
        <w:ind w:left="7107" w:hanging="181"/>
      </w:pPr>
      <w:rPr>
        <w:rFonts w:hint="default"/>
        <w:lang w:val="zh-CN" w:eastAsia="zh-CN" w:bidi="zh-CN"/>
      </w:rPr>
    </w:lvl>
    <w:lvl w:ilvl="7" w:tentative="1">
      <w:start w:val="0"/>
      <w:numFmt w:val="bullet"/>
      <w:lvlText w:val="•"/>
      <w:lvlJc w:val="left"/>
      <w:pPr>
        <w:ind w:left="8002" w:hanging="181"/>
      </w:pPr>
      <w:rPr>
        <w:rFonts w:hint="default"/>
        <w:lang w:val="zh-CN" w:eastAsia="zh-CN" w:bidi="zh-CN"/>
      </w:rPr>
    </w:lvl>
    <w:lvl w:ilvl="8" w:tentative="1">
      <w:start w:val="0"/>
      <w:numFmt w:val="bullet"/>
      <w:lvlText w:val="•"/>
      <w:lvlJc w:val="left"/>
      <w:pPr>
        <w:ind w:left="8897" w:hanging="181"/>
      </w:pPr>
      <w:rPr>
        <w:rFonts w:hint="default"/>
        <w:lang w:val="zh-CN" w:eastAsia="zh-CN" w:bidi="zh-CN"/>
      </w:rPr>
    </w:lvl>
  </w:abstractNum>
  <w:num w:numId="1">
    <w:abstractNumId w:val="2003823788"/>
  </w:num>
  <w:num w:numId="2">
    <w:abstractNumId w:val="600575165"/>
  </w:num>
  <w:num w:numId="3">
    <w:abstractNumId w:val="2485113497"/>
  </w:num>
  <w:num w:numId="4">
    <w:abstractNumId w:val="699609279"/>
  </w:num>
  <w:num w:numId="5">
    <w:abstractNumId w:val="1721003293"/>
  </w:num>
  <w:num w:numId="6">
    <w:abstractNumId w:val="2080381211"/>
  </w:num>
  <w:num w:numId="7">
    <w:abstractNumId w:val="3141755129"/>
  </w:num>
  <w:num w:numId="8">
    <w:abstractNumId w:val="2769895820"/>
  </w:num>
  <w:num w:numId="9">
    <w:abstractNumId w:val="1290525151"/>
  </w:num>
  <w:num w:numId="10">
    <w:abstractNumId w:val="412008343"/>
  </w:num>
  <w:num w:numId="11">
    <w:abstractNumId w:val="2346320495"/>
  </w:num>
  <w:num w:numId="12">
    <w:abstractNumId w:val="29588167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revisionView w:markup="0"/>
  <w:documentProtection w:enforcement="0"/>
  <w:defaultTabStop w:val="420"/>
  <w:drawingGridVerticalSpacing w:val="156"/>
  <w:noPunctuationKerning w:val="1"/>
  <w:characterSpacingControl w:val="compressPunctuation"/>
  <w:doNotValidateAgainstSchema/>
  <w:doNotDemarcateInvalidXml/>
  <w:hdrShapeDefaults>
    <o:shapelayout v:ext="edit">
      <o:idmap v:ext="edit" data="1,3"/>
    </o:shapelayout>
  </w:hdrShapeDefaults>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GY5ZDc0ODkxMDg4ZjY4MWUwNzZmYzYwZWQ3YzcxNWEifQ=="/>
  </w:docVars>
  <w:rsids>
    <w:rsidRoot w:val="00172A27"/>
    <w:rsid w:val="00006854"/>
    <w:rsid w:val="0001163F"/>
    <w:rsid w:val="00015CE4"/>
    <w:rsid w:val="0002039B"/>
    <w:rsid w:val="0002411C"/>
    <w:rsid w:val="00026E37"/>
    <w:rsid w:val="00026F71"/>
    <w:rsid w:val="00027E73"/>
    <w:rsid w:val="00037669"/>
    <w:rsid w:val="00042198"/>
    <w:rsid w:val="0004625F"/>
    <w:rsid w:val="00050554"/>
    <w:rsid w:val="0007580F"/>
    <w:rsid w:val="000A20A9"/>
    <w:rsid w:val="000C0A05"/>
    <w:rsid w:val="000C5F5E"/>
    <w:rsid w:val="000D057C"/>
    <w:rsid w:val="000D1009"/>
    <w:rsid w:val="000D4552"/>
    <w:rsid w:val="000D7258"/>
    <w:rsid w:val="000E0A26"/>
    <w:rsid w:val="000F0169"/>
    <w:rsid w:val="000F135E"/>
    <w:rsid w:val="000F218A"/>
    <w:rsid w:val="000F2F11"/>
    <w:rsid w:val="000F3982"/>
    <w:rsid w:val="000F3EE4"/>
    <w:rsid w:val="000F5837"/>
    <w:rsid w:val="00105E04"/>
    <w:rsid w:val="001103AA"/>
    <w:rsid w:val="00111C14"/>
    <w:rsid w:val="00113673"/>
    <w:rsid w:val="00115887"/>
    <w:rsid w:val="00130669"/>
    <w:rsid w:val="001547FD"/>
    <w:rsid w:val="00156780"/>
    <w:rsid w:val="00162FC5"/>
    <w:rsid w:val="00164150"/>
    <w:rsid w:val="00170B65"/>
    <w:rsid w:val="00172A27"/>
    <w:rsid w:val="00172B54"/>
    <w:rsid w:val="0019708F"/>
    <w:rsid w:val="001A7D85"/>
    <w:rsid w:val="001B17C8"/>
    <w:rsid w:val="001B3DB8"/>
    <w:rsid w:val="001C59CF"/>
    <w:rsid w:val="001C5FF0"/>
    <w:rsid w:val="001D2D36"/>
    <w:rsid w:val="001E35F4"/>
    <w:rsid w:val="001E41FA"/>
    <w:rsid w:val="001F1AED"/>
    <w:rsid w:val="001F2A8A"/>
    <w:rsid w:val="001F43E6"/>
    <w:rsid w:val="001F6349"/>
    <w:rsid w:val="001F744E"/>
    <w:rsid w:val="001F7953"/>
    <w:rsid w:val="00201B0C"/>
    <w:rsid w:val="00210182"/>
    <w:rsid w:val="00210248"/>
    <w:rsid w:val="002133C1"/>
    <w:rsid w:val="00216646"/>
    <w:rsid w:val="00223E42"/>
    <w:rsid w:val="0022521E"/>
    <w:rsid w:val="0022588C"/>
    <w:rsid w:val="0022792A"/>
    <w:rsid w:val="00230D80"/>
    <w:rsid w:val="002404F4"/>
    <w:rsid w:val="00241A19"/>
    <w:rsid w:val="00243CD0"/>
    <w:rsid w:val="00252311"/>
    <w:rsid w:val="00252E37"/>
    <w:rsid w:val="00260CB6"/>
    <w:rsid w:val="00266F5D"/>
    <w:rsid w:val="002676BF"/>
    <w:rsid w:val="0027303E"/>
    <w:rsid w:val="002A1BB9"/>
    <w:rsid w:val="002A5E3C"/>
    <w:rsid w:val="002B0EC4"/>
    <w:rsid w:val="002B19C5"/>
    <w:rsid w:val="002B373B"/>
    <w:rsid w:val="002B5024"/>
    <w:rsid w:val="002C02A2"/>
    <w:rsid w:val="002C37C7"/>
    <w:rsid w:val="002C52D2"/>
    <w:rsid w:val="002C5D5C"/>
    <w:rsid w:val="002C6F26"/>
    <w:rsid w:val="002C7922"/>
    <w:rsid w:val="002D2811"/>
    <w:rsid w:val="002D56CB"/>
    <w:rsid w:val="002D7769"/>
    <w:rsid w:val="002F3E5A"/>
    <w:rsid w:val="002F4DFF"/>
    <w:rsid w:val="002F6680"/>
    <w:rsid w:val="00312077"/>
    <w:rsid w:val="00315266"/>
    <w:rsid w:val="00322BD9"/>
    <w:rsid w:val="00334FFA"/>
    <w:rsid w:val="00343ABB"/>
    <w:rsid w:val="00345730"/>
    <w:rsid w:val="0035068A"/>
    <w:rsid w:val="00352552"/>
    <w:rsid w:val="00352C60"/>
    <w:rsid w:val="00352DE2"/>
    <w:rsid w:val="00353F36"/>
    <w:rsid w:val="00357FB1"/>
    <w:rsid w:val="00361E66"/>
    <w:rsid w:val="00362306"/>
    <w:rsid w:val="00362C17"/>
    <w:rsid w:val="00376978"/>
    <w:rsid w:val="003906C4"/>
    <w:rsid w:val="00393A90"/>
    <w:rsid w:val="003940DE"/>
    <w:rsid w:val="003944C6"/>
    <w:rsid w:val="003A6BB4"/>
    <w:rsid w:val="003A6F1F"/>
    <w:rsid w:val="003B0639"/>
    <w:rsid w:val="003B7704"/>
    <w:rsid w:val="003E2EDC"/>
    <w:rsid w:val="003E73E8"/>
    <w:rsid w:val="003F5F9D"/>
    <w:rsid w:val="003F7970"/>
    <w:rsid w:val="003F7A55"/>
    <w:rsid w:val="00412288"/>
    <w:rsid w:val="0041677B"/>
    <w:rsid w:val="00427564"/>
    <w:rsid w:val="00431679"/>
    <w:rsid w:val="004419C0"/>
    <w:rsid w:val="00445874"/>
    <w:rsid w:val="00447A8F"/>
    <w:rsid w:val="00451ECE"/>
    <w:rsid w:val="004620DD"/>
    <w:rsid w:val="004635CA"/>
    <w:rsid w:val="0047224C"/>
    <w:rsid w:val="00484BFD"/>
    <w:rsid w:val="004935CB"/>
    <w:rsid w:val="00494A26"/>
    <w:rsid w:val="004A207F"/>
    <w:rsid w:val="004A6A01"/>
    <w:rsid w:val="004B04D1"/>
    <w:rsid w:val="004B5BA9"/>
    <w:rsid w:val="004B749F"/>
    <w:rsid w:val="004C0FAF"/>
    <w:rsid w:val="004C4BC4"/>
    <w:rsid w:val="004C60BB"/>
    <w:rsid w:val="004C7839"/>
    <w:rsid w:val="004D08AC"/>
    <w:rsid w:val="004D1A9F"/>
    <w:rsid w:val="004E1241"/>
    <w:rsid w:val="004E738A"/>
    <w:rsid w:val="004F0AFF"/>
    <w:rsid w:val="004F6B98"/>
    <w:rsid w:val="00504FF9"/>
    <w:rsid w:val="005076EA"/>
    <w:rsid w:val="00507A82"/>
    <w:rsid w:val="00511019"/>
    <w:rsid w:val="00511F44"/>
    <w:rsid w:val="00513072"/>
    <w:rsid w:val="0051495B"/>
    <w:rsid w:val="00514984"/>
    <w:rsid w:val="00521E5F"/>
    <w:rsid w:val="0052428B"/>
    <w:rsid w:val="00524F11"/>
    <w:rsid w:val="00547F4D"/>
    <w:rsid w:val="005518F0"/>
    <w:rsid w:val="00554DAC"/>
    <w:rsid w:val="00555656"/>
    <w:rsid w:val="00560FB5"/>
    <w:rsid w:val="00580D0D"/>
    <w:rsid w:val="00594712"/>
    <w:rsid w:val="005A1DBA"/>
    <w:rsid w:val="005C06F1"/>
    <w:rsid w:val="005C16CD"/>
    <w:rsid w:val="005D516B"/>
    <w:rsid w:val="005E21C3"/>
    <w:rsid w:val="00611EB4"/>
    <w:rsid w:val="00622931"/>
    <w:rsid w:val="006246F7"/>
    <w:rsid w:val="0062509B"/>
    <w:rsid w:val="00645BD0"/>
    <w:rsid w:val="0064710F"/>
    <w:rsid w:val="00652466"/>
    <w:rsid w:val="006572AC"/>
    <w:rsid w:val="00661092"/>
    <w:rsid w:val="00661DED"/>
    <w:rsid w:val="006714BA"/>
    <w:rsid w:val="0067439A"/>
    <w:rsid w:val="00674F6A"/>
    <w:rsid w:val="00684A5B"/>
    <w:rsid w:val="00686E64"/>
    <w:rsid w:val="00694417"/>
    <w:rsid w:val="006A1AC9"/>
    <w:rsid w:val="006A76C0"/>
    <w:rsid w:val="006A7861"/>
    <w:rsid w:val="006B266B"/>
    <w:rsid w:val="006B4982"/>
    <w:rsid w:val="006B5E22"/>
    <w:rsid w:val="006B6B78"/>
    <w:rsid w:val="006B6D17"/>
    <w:rsid w:val="006C0B7A"/>
    <w:rsid w:val="006C561B"/>
    <w:rsid w:val="006E1021"/>
    <w:rsid w:val="006E5A00"/>
    <w:rsid w:val="006F12FA"/>
    <w:rsid w:val="007065F9"/>
    <w:rsid w:val="00716551"/>
    <w:rsid w:val="00717555"/>
    <w:rsid w:val="0072085F"/>
    <w:rsid w:val="00721005"/>
    <w:rsid w:val="00721E78"/>
    <w:rsid w:val="007249AC"/>
    <w:rsid w:val="0073014C"/>
    <w:rsid w:val="00731BFC"/>
    <w:rsid w:val="00734C5F"/>
    <w:rsid w:val="00742448"/>
    <w:rsid w:val="00753787"/>
    <w:rsid w:val="00754386"/>
    <w:rsid w:val="007574F3"/>
    <w:rsid w:val="00761B57"/>
    <w:rsid w:val="00770BF5"/>
    <w:rsid w:val="00772005"/>
    <w:rsid w:val="007750B6"/>
    <w:rsid w:val="00780B4D"/>
    <w:rsid w:val="00780C5F"/>
    <w:rsid w:val="00786719"/>
    <w:rsid w:val="00793301"/>
    <w:rsid w:val="00793B59"/>
    <w:rsid w:val="007942CD"/>
    <w:rsid w:val="00796F48"/>
    <w:rsid w:val="007A031B"/>
    <w:rsid w:val="007B40CE"/>
    <w:rsid w:val="007B54ED"/>
    <w:rsid w:val="007C04C2"/>
    <w:rsid w:val="007C2529"/>
    <w:rsid w:val="007D1613"/>
    <w:rsid w:val="007D4C0F"/>
    <w:rsid w:val="007F0AF7"/>
    <w:rsid w:val="007F1D2B"/>
    <w:rsid w:val="007F403A"/>
    <w:rsid w:val="007F5A0C"/>
    <w:rsid w:val="008019EC"/>
    <w:rsid w:val="00805C76"/>
    <w:rsid w:val="00805FA0"/>
    <w:rsid w:val="00806EB1"/>
    <w:rsid w:val="008377DD"/>
    <w:rsid w:val="008423A2"/>
    <w:rsid w:val="00850C8D"/>
    <w:rsid w:val="008625B6"/>
    <w:rsid w:val="00871DFE"/>
    <w:rsid w:val="00872C1C"/>
    <w:rsid w:val="0087581B"/>
    <w:rsid w:val="008825D6"/>
    <w:rsid w:val="00886B16"/>
    <w:rsid w:val="0089686E"/>
    <w:rsid w:val="008A022C"/>
    <w:rsid w:val="008B24DC"/>
    <w:rsid w:val="008B5B3F"/>
    <w:rsid w:val="008C58B2"/>
    <w:rsid w:val="008C77EB"/>
    <w:rsid w:val="008D0553"/>
    <w:rsid w:val="008D1EE3"/>
    <w:rsid w:val="008D25BC"/>
    <w:rsid w:val="008D7AFA"/>
    <w:rsid w:val="008E0890"/>
    <w:rsid w:val="008E1869"/>
    <w:rsid w:val="008E1998"/>
    <w:rsid w:val="008F57A1"/>
    <w:rsid w:val="00900DC5"/>
    <w:rsid w:val="00907B74"/>
    <w:rsid w:val="009115A8"/>
    <w:rsid w:val="00911872"/>
    <w:rsid w:val="00912216"/>
    <w:rsid w:val="00913F2D"/>
    <w:rsid w:val="00915038"/>
    <w:rsid w:val="009159BA"/>
    <w:rsid w:val="0092571B"/>
    <w:rsid w:val="00931DF8"/>
    <w:rsid w:val="00933054"/>
    <w:rsid w:val="00933A4E"/>
    <w:rsid w:val="00954C67"/>
    <w:rsid w:val="00957D67"/>
    <w:rsid w:val="009605D2"/>
    <w:rsid w:val="00970E17"/>
    <w:rsid w:val="00971378"/>
    <w:rsid w:val="00973C1E"/>
    <w:rsid w:val="009840EF"/>
    <w:rsid w:val="009933C9"/>
    <w:rsid w:val="00995581"/>
    <w:rsid w:val="009A5DFB"/>
    <w:rsid w:val="009B19F3"/>
    <w:rsid w:val="009B2FB2"/>
    <w:rsid w:val="009B5364"/>
    <w:rsid w:val="009B53AC"/>
    <w:rsid w:val="009C081D"/>
    <w:rsid w:val="009C1B11"/>
    <w:rsid w:val="009C495C"/>
    <w:rsid w:val="009C7CB3"/>
    <w:rsid w:val="009D0519"/>
    <w:rsid w:val="009D190D"/>
    <w:rsid w:val="009D38D7"/>
    <w:rsid w:val="009D4D99"/>
    <w:rsid w:val="009D72AD"/>
    <w:rsid w:val="009E170D"/>
    <w:rsid w:val="009F4EE8"/>
    <w:rsid w:val="00A061CB"/>
    <w:rsid w:val="00A06661"/>
    <w:rsid w:val="00A07998"/>
    <w:rsid w:val="00A20BD0"/>
    <w:rsid w:val="00A264F8"/>
    <w:rsid w:val="00A272DF"/>
    <w:rsid w:val="00A31EB6"/>
    <w:rsid w:val="00A3661B"/>
    <w:rsid w:val="00A46089"/>
    <w:rsid w:val="00A53FAC"/>
    <w:rsid w:val="00A578D0"/>
    <w:rsid w:val="00A62688"/>
    <w:rsid w:val="00A64635"/>
    <w:rsid w:val="00A67D13"/>
    <w:rsid w:val="00A75903"/>
    <w:rsid w:val="00A76312"/>
    <w:rsid w:val="00A76F79"/>
    <w:rsid w:val="00A8432D"/>
    <w:rsid w:val="00A977A2"/>
    <w:rsid w:val="00AC3753"/>
    <w:rsid w:val="00AC3FF8"/>
    <w:rsid w:val="00AE5126"/>
    <w:rsid w:val="00AE6DAF"/>
    <w:rsid w:val="00AF21DC"/>
    <w:rsid w:val="00B05511"/>
    <w:rsid w:val="00B12CC9"/>
    <w:rsid w:val="00B2038F"/>
    <w:rsid w:val="00B2061C"/>
    <w:rsid w:val="00B47CC1"/>
    <w:rsid w:val="00B523CB"/>
    <w:rsid w:val="00B5383B"/>
    <w:rsid w:val="00B56319"/>
    <w:rsid w:val="00B56971"/>
    <w:rsid w:val="00B646E8"/>
    <w:rsid w:val="00B800B3"/>
    <w:rsid w:val="00B813A2"/>
    <w:rsid w:val="00B82E36"/>
    <w:rsid w:val="00B87581"/>
    <w:rsid w:val="00B878E2"/>
    <w:rsid w:val="00B9021D"/>
    <w:rsid w:val="00B9542F"/>
    <w:rsid w:val="00B9649E"/>
    <w:rsid w:val="00BA0326"/>
    <w:rsid w:val="00BA617E"/>
    <w:rsid w:val="00BA7145"/>
    <w:rsid w:val="00BA757C"/>
    <w:rsid w:val="00BB073C"/>
    <w:rsid w:val="00BC09F7"/>
    <w:rsid w:val="00BD1AEC"/>
    <w:rsid w:val="00BD3F20"/>
    <w:rsid w:val="00BF0129"/>
    <w:rsid w:val="00C14A59"/>
    <w:rsid w:val="00C17736"/>
    <w:rsid w:val="00C25FC6"/>
    <w:rsid w:val="00C333D1"/>
    <w:rsid w:val="00C337B9"/>
    <w:rsid w:val="00C35299"/>
    <w:rsid w:val="00C42344"/>
    <w:rsid w:val="00C42D9F"/>
    <w:rsid w:val="00C603FA"/>
    <w:rsid w:val="00C609A0"/>
    <w:rsid w:val="00C65902"/>
    <w:rsid w:val="00C74FE1"/>
    <w:rsid w:val="00C75176"/>
    <w:rsid w:val="00C7591D"/>
    <w:rsid w:val="00C7596B"/>
    <w:rsid w:val="00C81CAF"/>
    <w:rsid w:val="00C8242B"/>
    <w:rsid w:val="00C87334"/>
    <w:rsid w:val="00C93BD4"/>
    <w:rsid w:val="00C94A1E"/>
    <w:rsid w:val="00CB0F11"/>
    <w:rsid w:val="00CB2491"/>
    <w:rsid w:val="00CB3284"/>
    <w:rsid w:val="00CB5B3C"/>
    <w:rsid w:val="00CB6D2F"/>
    <w:rsid w:val="00CB720C"/>
    <w:rsid w:val="00CC6FA3"/>
    <w:rsid w:val="00CD269A"/>
    <w:rsid w:val="00CE1278"/>
    <w:rsid w:val="00CF24C6"/>
    <w:rsid w:val="00CF66B9"/>
    <w:rsid w:val="00CF7299"/>
    <w:rsid w:val="00D019DA"/>
    <w:rsid w:val="00D02C68"/>
    <w:rsid w:val="00D03999"/>
    <w:rsid w:val="00D040E0"/>
    <w:rsid w:val="00D06897"/>
    <w:rsid w:val="00D14292"/>
    <w:rsid w:val="00D15222"/>
    <w:rsid w:val="00D17497"/>
    <w:rsid w:val="00D2342B"/>
    <w:rsid w:val="00D263F2"/>
    <w:rsid w:val="00D27193"/>
    <w:rsid w:val="00D27FF9"/>
    <w:rsid w:val="00D32857"/>
    <w:rsid w:val="00D36062"/>
    <w:rsid w:val="00D42DA2"/>
    <w:rsid w:val="00D4619A"/>
    <w:rsid w:val="00D52C59"/>
    <w:rsid w:val="00D553E5"/>
    <w:rsid w:val="00D7700E"/>
    <w:rsid w:val="00D86E80"/>
    <w:rsid w:val="00D969A5"/>
    <w:rsid w:val="00D9736D"/>
    <w:rsid w:val="00DA7013"/>
    <w:rsid w:val="00DB0294"/>
    <w:rsid w:val="00DC442C"/>
    <w:rsid w:val="00DD18D5"/>
    <w:rsid w:val="00DD2632"/>
    <w:rsid w:val="00DD2A70"/>
    <w:rsid w:val="00DD4475"/>
    <w:rsid w:val="00DD6B93"/>
    <w:rsid w:val="00DD7337"/>
    <w:rsid w:val="00DE12C9"/>
    <w:rsid w:val="00DF0175"/>
    <w:rsid w:val="00DF07E2"/>
    <w:rsid w:val="00DF2457"/>
    <w:rsid w:val="00DF4AB0"/>
    <w:rsid w:val="00E0067D"/>
    <w:rsid w:val="00E07089"/>
    <w:rsid w:val="00E13486"/>
    <w:rsid w:val="00E15098"/>
    <w:rsid w:val="00E1552E"/>
    <w:rsid w:val="00E1664D"/>
    <w:rsid w:val="00E21E21"/>
    <w:rsid w:val="00E246B1"/>
    <w:rsid w:val="00E263F5"/>
    <w:rsid w:val="00E347D8"/>
    <w:rsid w:val="00E41D22"/>
    <w:rsid w:val="00E45A07"/>
    <w:rsid w:val="00E50E93"/>
    <w:rsid w:val="00E53363"/>
    <w:rsid w:val="00E66D32"/>
    <w:rsid w:val="00E674B4"/>
    <w:rsid w:val="00E748FB"/>
    <w:rsid w:val="00E77854"/>
    <w:rsid w:val="00E8053A"/>
    <w:rsid w:val="00E82C48"/>
    <w:rsid w:val="00E8394C"/>
    <w:rsid w:val="00E86C8D"/>
    <w:rsid w:val="00E86E8B"/>
    <w:rsid w:val="00EA0643"/>
    <w:rsid w:val="00EA76AF"/>
    <w:rsid w:val="00EA7E87"/>
    <w:rsid w:val="00EB0881"/>
    <w:rsid w:val="00EB3C44"/>
    <w:rsid w:val="00EC109D"/>
    <w:rsid w:val="00EC2AE0"/>
    <w:rsid w:val="00EC70C3"/>
    <w:rsid w:val="00ED2BFF"/>
    <w:rsid w:val="00ED4479"/>
    <w:rsid w:val="00EE019B"/>
    <w:rsid w:val="00EE0D85"/>
    <w:rsid w:val="00EE2050"/>
    <w:rsid w:val="00F000C4"/>
    <w:rsid w:val="00F02BAE"/>
    <w:rsid w:val="00F03CB7"/>
    <w:rsid w:val="00F047CC"/>
    <w:rsid w:val="00F155CD"/>
    <w:rsid w:val="00F23BA1"/>
    <w:rsid w:val="00F24CD3"/>
    <w:rsid w:val="00F2570A"/>
    <w:rsid w:val="00F25A0F"/>
    <w:rsid w:val="00F3157E"/>
    <w:rsid w:val="00F37AD2"/>
    <w:rsid w:val="00F4170F"/>
    <w:rsid w:val="00F472D4"/>
    <w:rsid w:val="00F519EE"/>
    <w:rsid w:val="00F637DD"/>
    <w:rsid w:val="00F717D1"/>
    <w:rsid w:val="00F74775"/>
    <w:rsid w:val="00F75F16"/>
    <w:rsid w:val="00F76EC2"/>
    <w:rsid w:val="00F7707B"/>
    <w:rsid w:val="00F77BE2"/>
    <w:rsid w:val="00F87F6F"/>
    <w:rsid w:val="00F90D08"/>
    <w:rsid w:val="00F9337C"/>
    <w:rsid w:val="00F93411"/>
    <w:rsid w:val="00F948C6"/>
    <w:rsid w:val="00FA05D1"/>
    <w:rsid w:val="00FA1190"/>
    <w:rsid w:val="00FA2055"/>
    <w:rsid w:val="00FA44EB"/>
    <w:rsid w:val="00FA75D0"/>
    <w:rsid w:val="00FB634B"/>
    <w:rsid w:val="00FC3C48"/>
    <w:rsid w:val="00FC5683"/>
    <w:rsid w:val="00FC7E92"/>
    <w:rsid w:val="00FE1151"/>
    <w:rsid w:val="00FE3565"/>
    <w:rsid w:val="00FF1D91"/>
    <w:rsid w:val="00FF2205"/>
    <w:rsid w:val="00FF2A38"/>
    <w:rsid w:val="00FF697F"/>
    <w:rsid w:val="01197808"/>
    <w:rsid w:val="01330E80"/>
    <w:rsid w:val="017C407C"/>
    <w:rsid w:val="01A76AA8"/>
    <w:rsid w:val="01FB3D60"/>
    <w:rsid w:val="034616DB"/>
    <w:rsid w:val="04080618"/>
    <w:rsid w:val="04384B0B"/>
    <w:rsid w:val="052541F7"/>
    <w:rsid w:val="05FD2E18"/>
    <w:rsid w:val="06315D30"/>
    <w:rsid w:val="07020DF2"/>
    <w:rsid w:val="07402211"/>
    <w:rsid w:val="08217CA1"/>
    <w:rsid w:val="08A8243F"/>
    <w:rsid w:val="08CB4B3C"/>
    <w:rsid w:val="09C3590C"/>
    <w:rsid w:val="09D13A3A"/>
    <w:rsid w:val="0A1C768B"/>
    <w:rsid w:val="0A791132"/>
    <w:rsid w:val="0A893743"/>
    <w:rsid w:val="0C7E39A8"/>
    <w:rsid w:val="0CB9795F"/>
    <w:rsid w:val="0CBA4616"/>
    <w:rsid w:val="0CEA2C4C"/>
    <w:rsid w:val="0D073013"/>
    <w:rsid w:val="0D330F3C"/>
    <w:rsid w:val="0D7B4205"/>
    <w:rsid w:val="0EB84D8B"/>
    <w:rsid w:val="0EE53F45"/>
    <w:rsid w:val="0F5A77B3"/>
    <w:rsid w:val="0FB63D42"/>
    <w:rsid w:val="101E46CB"/>
    <w:rsid w:val="1064744E"/>
    <w:rsid w:val="10923E57"/>
    <w:rsid w:val="117C29CA"/>
    <w:rsid w:val="118B2F7A"/>
    <w:rsid w:val="11E37603"/>
    <w:rsid w:val="11F1084A"/>
    <w:rsid w:val="128E7CA2"/>
    <w:rsid w:val="1292697C"/>
    <w:rsid w:val="12BA25A0"/>
    <w:rsid w:val="13AD789E"/>
    <w:rsid w:val="148C1C56"/>
    <w:rsid w:val="14B0506B"/>
    <w:rsid w:val="15A75419"/>
    <w:rsid w:val="167C2F06"/>
    <w:rsid w:val="16F716E5"/>
    <w:rsid w:val="17785459"/>
    <w:rsid w:val="17B871B9"/>
    <w:rsid w:val="18ED1C5C"/>
    <w:rsid w:val="19357FF3"/>
    <w:rsid w:val="1A472E46"/>
    <w:rsid w:val="1A55661F"/>
    <w:rsid w:val="1AA85E76"/>
    <w:rsid w:val="1AB77E04"/>
    <w:rsid w:val="1B4E2856"/>
    <w:rsid w:val="1B522084"/>
    <w:rsid w:val="1B6863CA"/>
    <w:rsid w:val="1C0605F1"/>
    <w:rsid w:val="1C0F4FE5"/>
    <w:rsid w:val="1C773CBA"/>
    <w:rsid w:val="1CA33A81"/>
    <w:rsid w:val="1D20770C"/>
    <w:rsid w:val="1DB7410C"/>
    <w:rsid w:val="1DD366A2"/>
    <w:rsid w:val="1DF70559"/>
    <w:rsid w:val="1E7407E7"/>
    <w:rsid w:val="1EE311B1"/>
    <w:rsid w:val="1F28623A"/>
    <w:rsid w:val="1FB9793C"/>
    <w:rsid w:val="200908B7"/>
    <w:rsid w:val="200A344F"/>
    <w:rsid w:val="203020A2"/>
    <w:rsid w:val="203E542E"/>
    <w:rsid w:val="216715EF"/>
    <w:rsid w:val="22485124"/>
    <w:rsid w:val="228E679A"/>
    <w:rsid w:val="229463F8"/>
    <w:rsid w:val="2321534C"/>
    <w:rsid w:val="2409469A"/>
    <w:rsid w:val="24273BAA"/>
    <w:rsid w:val="249F1C14"/>
    <w:rsid w:val="24C62F3F"/>
    <w:rsid w:val="25B83E6E"/>
    <w:rsid w:val="25E82A3D"/>
    <w:rsid w:val="267E6949"/>
    <w:rsid w:val="26C425A4"/>
    <w:rsid w:val="27544D81"/>
    <w:rsid w:val="27C90E9C"/>
    <w:rsid w:val="28B27D26"/>
    <w:rsid w:val="28B932CB"/>
    <w:rsid w:val="28CA18BB"/>
    <w:rsid w:val="28CB47E0"/>
    <w:rsid w:val="28D76230"/>
    <w:rsid w:val="28EC591A"/>
    <w:rsid w:val="291B2788"/>
    <w:rsid w:val="299B41BD"/>
    <w:rsid w:val="29A063B7"/>
    <w:rsid w:val="2AA8746E"/>
    <w:rsid w:val="2AF944C5"/>
    <w:rsid w:val="2B445BB0"/>
    <w:rsid w:val="2B545E2B"/>
    <w:rsid w:val="2B6314EC"/>
    <w:rsid w:val="2B790B45"/>
    <w:rsid w:val="2BAA2876"/>
    <w:rsid w:val="2BF62208"/>
    <w:rsid w:val="2C3B6A04"/>
    <w:rsid w:val="2C803222"/>
    <w:rsid w:val="2D1E6D44"/>
    <w:rsid w:val="2DA90C0D"/>
    <w:rsid w:val="2DDA2FFB"/>
    <w:rsid w:val="2DF40BE0"/>
    <w:rsid w:val="2F2C7572"/>
    <w:rsid w:val="2F6B05E8"/>
    <w:rsid w:val="2FFB206A"/>
    <w:rsid w:val="30357FD1"/>
    <w:rsid w:val="303D7FA7"/>
    <w:rsid w:val="310149B3"/>
    <w:rsid w:val="312D45E6"/>
    <w:rsid w:val="31B316CD"/>
    <w:rsid w:val="32705460"/>
    <w:rsid w:val="327207E9"/>
    <w:rsid w:val="33526D80"/>
    <w:rsid w:val="336822FC"/>
    <w:rsid w:val="337F6C2D"/>
    <w:rsid w:val="34597C64"/>
    <w:rsid w:val="34A5263E"/>
    <w:rsid w:val="365B4D35"/>
    <w:rsid w:val="36B53E41"/>
    <w:rsid w:val="37C00F07"/>
    <w:rsid w:val="381044F9"/>
    <w:rsid w:val="381A72B5"/>
    <w:rsid w:val="38D51D18"/>
    <w:rsid w:val="39003861"/>
    <w:rsid w:val="39DB200B"/>
    <w:rsid w:val="3A286675"/>
    <w:rsid w:val="3B647D9A"/>
    <w:rsid w:val="3B711D37"/>
    <w:rsid w:val="3C007E2E"/>
    <w:rsid w:val="3CB720F3"/>
    <w:rsid w:val="3CD67E51"/>
    <w:rsid w:val="3D8B4110"/>
    <w:rsid w:val="3DB813FD"/>
    <w:rsid w:val="3DFF00CF"/>
    <w:rsid w:val="3E551FCA"/>
    <w:rsid w:val="3E8F5E3D"/>
    <w:rsid w:val="3EE35DDB"/>
    <w:rsid w:val="413D2274"/>
    <w:rsid w:val="415A6A64"/>
    <w:rsid w:val="41727A87"/>
    <w:rsid w:val="41B94BDC"/>
    <w:rsid w:val="41DC1620"/>
    <w:rsid w:val="41FE444D"/>
    <w:rsid w:val="425B56CA"/>
    <w:rsid w:val="43257EEF"/>
    <w:rsid w:val="43684280"/>
    <w:rsid w:val="43702854"/>
    <w:rsid w:val="437259A7"/>
    <w:rsid w:val="44061A5F"/>
    <w:rsid w:val="442319A6"/>
    <w:rsid w:val="451F43C1"/>
    <w:rsid w:val="45815384"/>
    <w:rsid w:val="463B426F"/>
    <w:rsid w:val="463E02DD"/>
    <w:rsid w:val="46541DA8"/>
    <w:rsid w:val="46577242"/>
    <w:rsid w:val="46A121D8"/>
    <w:rsid w:val="46A42A40"/>
    <w:rsid w:val="47070004"/>
    <w:rsid w:val="48153922"/>
    <w:rsid w:val="487123B5"/>
    <w:rsid w:val="48735A52"/>
    <w:rsid w:val="48B07A49"/>
    <w:rsid w:val="48E75DFA"/>
    <w:rsid w:val="49751EE0"/>
    <w:rsid w:val="49865D2D"/>
    <w:rsid w:val="49882FE0"/>
    <w:rsid w:val="4A0E4521"/>
    <w:rsid w:val="4B764278"/>
    <w:rsid w:val="4BD22DE0"/>
    <w:rsid w:val="4C7A162C"/>
    <w:rsid w:val="4CDF14CE"/>
    <w:rsid w:val="4D2E006A"/>
    <w:rsid w:val="4D764FE5"/>
    <w:rsid w:val="4E2A1318"/>
    <w:rsid w:val="4FA66A09"/>
    <w:rsid w:val="5004304E"/>
    <w:rsid w:val="500D19DA"/>
    <w:rsid w:val="50525304"/>
    <w:rsid w:val="50A33336"/>
    <w:rsid w:val="50C578B8"/>
    <w:rsid w:val="5118164B"/>
    <w:rsid w:val="514672E8"/>
    <w:rsid w:val="516E7DE8"/>
    <w:rsid w:val="517B5058"/>
    <w:rsid w:val="51A61140"/>
    <w:rsid w:val="51F64ED8"/>
    <w:rsid w:val="521658A7"/>
    <w:rsid w:val="523B2A24"/>
    <w:rsid w:val="525F09E6"/>
    <w:rsid w:val="52D57426"/>
    <w:rsid w:val="53137FF5"/>
    <w:rsid w:val="53910A3E"/>
    <w:rsid w:val="53A777D8"/>
    <w:rsid w:val="53F21C60"/>
    <w:rsid w:val="55A36E8C"/>
    <w:rsid w:val="55A86EC3"/>
    <w:rsid w:val="55FD1FE6"/>
    <w:rsid w:val="567B3E5C"/>
    <w:rsid w:val="56B91B75"/>
    <w:rsid w:val="573D4B3D"/>
    <w:rsid w:val="576F7CC3"/>
    <w:rsid w:val="579E3DD6"/>
    <w:rsid w:val="5A81156D"/>
    <w:rsid w:val="5AC67528"/>
    <w:rsid w:val="5B4610CB"/>
    <w:rsid w:val="5BFD7BA1"/>
    <w:rsid w:val="5CCE122B"/>
    <w:rsid w:val="5CF934DE"/>
    <w:rsid w:val="5D100A61"/>
    <w:rsid w:val="5D1C1180"/>
    <w:rsid w:val="5E3C4A56"/>
    <w:rsid w:val="5E825EC3"/>
    <w:rsid w:val="5EB20385"/>
    <w:rsid w:val="5F367055"/>
    <w:rsid w:val="5FDA178D"/>
    <w:rsid w:val="60162C45"/>
    <w:rsid w:val="606F39AB"/>
    <w:rsid w:val="60922ECC"/>
    <w:rsid w:val="60B2312A"/>
    <w:rsid w:val="615F0505"/>
    <w:rsid w:val="61982DD5"/>
    <w:rsid w:val="61F62C71"/>
    <w:rsid w:val="62005B14"/>
    <w:rsid w:val="62315CC5"/>
    <w:rsid w:val="6234380F"/>
    <w:rsid w:val="62971A76"/>
    <w:rsid w:val="62F47EE7"/>
    <w:rsid w:val="63F13195"/>
    <w:rsid w:val="64AF5C1A"/>
    <w:rsid w:val="64B22953"/>
    <w:rsid w:val="64E30809"/>
    <w:rsid w:val="65426A34"/>
    <w:rsid w:val="65AC3736"/>
    <w:rsid w:val="65BB0609"/>
    <w:rsid w:val="65CB222E"/>
    <w:rsid w:val="673C09E7"/>
    <w:rsid w:val="67F53BC5"/>
    <w:rsid w:val="685670EC"/>
    <w:rsid w:val="689B5C1A"/>
    <w:rsid w:val="68EA2C48"/>
    <w:rsid w:val="699102C2"/>
    <w:rsid w:val="69F71AE2"/>
    <w:rsid w:val="6A187EA9"/>
    <w:rsid w:val="6A2D5350"/>
    <w:rsid w:val="6A7C357F"/>
    <w:rsid w:val="6B157C6C"/>
    <w:rsid w:val="6B8A3370"/>
    <w:rsid w:val="6B9D0457"/>
    <w:rsid w:val="6BA53AB2"/>
    <w:rsid w:val="6BB72AAF"/>
    <w:rsid w:val="6BDD0994"/>
    <w:rsid w:val="6C1301F8"/>
    <w:rsid w:val="6C3F50AB"/>
    <w:rsid w:val="6D1156CF"/>
    <w:rsid w:val="6D1530DE"/>
    <w:rsid w:val="6D893EAF"/>
    <w:rsid w:val="6DF54735"/>
    <w:rsid w:val="6DFA0638"/>
    <w:rsid w:val="6E0219CA"/>
    <w:rsid w:val="6ED23AD6"/>
    <w:rsid w:val="6F345840"/>
    <w:rsid w:val="70A7335C"/>
    <w:rsid w:val="713D3633"/>
    <w:rsid w:val="71B33DA4"/>
    <w:rsid w:val="71FB5A09"/>
    <w:rsid w:val="7220315B"/>
    <w:rsid w:val="724F5848"/>
    <w:rsid w:val="72E661D2"/>
    <w:rsid w:val="7324647D"/>
    <w:rsid w:val="73FE32A2"/>
    <w:rsid w:val="74022AFB"/>
    <w:rsid w:val="741E5B2B"/>
    <w:rsid w:val="74667817"/>
    <w:rsid w:val="746A3BEA"/>
    <w:rsid w:val="74F4445A"/>
    <w:rsid w:val="752E5AA1"/>
    <w:rsid w:val="7541198C"/>
    <w:rsid w:val="757237B8"/>
    <w:rsid w:val="75D43D8E"/>
    <w:rsid w:val="76117B7A"/>
    <w:rsid w:val="76A519DA"/>
    <w:rsid w:val="76E2476A"/>
    <w:rsid w:val="76FA3338"/>
    <w:rsid w:val="778242B2"/>
    <w:rsid w:val="779B2516"/>
    <w:rsid w:val="787262D4"/>
    <w:rsid w:val="787A660B"/>
    <w:rsid w:val="78B47D8A"/>
    <w:rsid w:val="78C57141"/>
    <w:rsid w:val="795D55CC"/>
    <w:rsid w:val="79817ADA"/>
    <w:rsid w:val="79B13571"/>
    <w:rsid w:val="79B44FBC"/>
    <w:rsid w:val="79EA2C36"/>
    <w:rsid w:val="79F56543"/>
    <w:rsid w:val="7AE344B0"/>
    <w:rsid w:val="7B8E74C9"/>
    <w:rsid w:val="7BAC326B"/>
    <w:rsid w:val="7BB75C88"/>
    <w:rsid w:val="7C167817"/>
    <w:rsid w:val="7CA02E6A"/>
    <w:rsid w:val="7CB86150"/>
    <w:rsid w:val="7CC24D5A"/>
    <w:rsid w:val="7D4521DB"/>
    <w:rsid w:val="7DAF3BE4"/>
    <w:rsid w:val="7DE84388"/>
    <w:rsid w:val="7DEA7859"/>
    <w:rsid w:val="7EA36C42"/>
    <w:rsid w:val="7F91554C"/>
    <w:rsid w:val="7FA7365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qFormat="1"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spacing w:line="500" w:lineRule="exact"/>
      <w:ind w:firstLine="480" w:firstLineChars="200"/>
      <w:jc w:val="both"/>
    </w:pPr>
    <w:rPr>
      <w:rFonts w:ascii="仿宋" w:hAnsi="仿宋" w:eastAsia="仿宋" w:cs="Times New Roman"/>
      <w:kern w:val="28"/>
      <w:sz w:val="28"/>
      <w:szCs w:val="24"/>
      <w:lang w:val="en-US" w:eastAsia="zh-CN" w:bidi="ar-SA"/>
    </w:rPr>
  </w:style>
  <w:style w:type="paragraph" w:styleId="3">
    <w:name w:val="heading 1"/>
    <w:basedOn w:val="1"/>
    <w:next w:val="1"/>
    <w:link w:val="50"/>
    <w:qFormat/>
    <w:uiPriority w:val="0"/>
    <w:pPr>
      <w:adjustRightInd w:val="0"/>
      <w:snapToGrid w:val="0"/>
      <w:spacing w:beforeLines="100" w:afterLines="100" w:line="360" w:lineRule="auto"/>
      <w:ind w:firstLine="0" w:firstLineChars="0"/>
      <w:jc w:val="center"/>
      <w:outlineLvl w:val="0"/>
    </w:pPr>
    <w:rPr>
      <w:rFonts w:ascii="仿宋_GB2312" w:hAnsi="仿宋_GB2312"/>
      <w:b/>
      <w:kern w:val="48"/>
      <w:sz w:val="32"/>
      <w:szCs w:val="32"/>
    </w:rPr>
  </w:style>
  <w:style w:type="paragraph" w:styleId="4">
    <w:name w:val="heading 2"/>
    <w:basedOn w:val="3"/>
    <w:next w:val="5"/>
    <w:qFormat/>
    <w:uiPriority w:val="0"/>
    <w:pPr>
      <w:spacing w:beforeLines="50" w:afterLines="50"/>
      <w:ind w:firstLine="684" w:firstLineChars="150"/>
      <w:jc w:val="both"/>
      <w:outlineLvl w:val="1"/>
    </w:pPr>
    <w:rPr>
      <w:rFonts w:ascii="Times New Roman" w:hAnsi="Times New Roman"/>
      <w:bCs/>
      <w:szCs w:val="30"/>
    </w:rPr>
  </w:style>
  <w:style w:type="paragraph" w:styleId="5">
    <w:name w:val="heading 3"/>
    <w:basedOn w:val="4"/>
    <w:next w:val="1"/>
    <w:qFormat/>
    <w:uiPriority w:val="0"/>
    <w:pPr>
      <w:keepNext/>
      <w:keepLines/>
      <w:spacing w:line="500" w:lineRule="exact"/>
      <w:ind w:firstLine="912" w:firstLineChars="200"/>
      <w:outlineLvl w:val="2"/>
    </w:pPr>
    <w:rPr>
      <w:rFonts w:ascii="黑体" w:hAnsi="黑体"/>
      <w:bCs w:val="0"/>
      <w:kern w:val="0"/>
      <w:sz w:val="28"/>
    </w:rPr>
  </w:style>
  <w:style w:type="paragraph" w:styleId="6">
    <w:name w:val="heading 4"/>
    <w:basedOn w:val="1"/>
    <w:next w:val="1"/>
    <w:qFormat/>
    <w:uiPriority w:val="0"/>
    <w:pPr>
      <w:keepNext/>
      <w:keepLines/>
      <w:spacing w:line="376" w:lineRule="auto"/>
      <w:ind w:firstLine="0" w:firstLineChars="0"/>
      <w:outlineLvl w:val="3"/>
    </w:pPr>
    <w:rPr>
      <w:rFonts w:ascii="Arial" w:hAnsi="Arial" w:eastAsia="黑体"/>
      <w:b/>
      <w:bCs/>
      <w:szCs w:val="28"/>
    </w:rPr>
  </w:style>
  <w:style w:type="paragraph" w:styleId="7">
    <w:name w:val="heading 5"/>
    <w:basedOn w:val="1"/>
    <w:next w:val="1"/>
    <w:qFormat/>
    <w:uiPriority w:val="0"/>
    <w:pPr>
      <w:keepNext/>
      <w:keepLines/>
      <w:adjustRightInd w:val="0"/>
      <w:snapToGrid w:val="0"/>
      <w:spacing w:beforeLines="20" w:line="377" w:lineRule="auto"/>
      <w:ind w:left="2756" w:firstLine="0" w:firstLineChars="0"/>
      <w:jc w:val="left"/>
      <w:textAlignment w:val="baseline"/>
      <w:outlineLvl w:val="4"/>
    </w:pPr>
    <w:rPr>
      <w:rFonts w:ascii="宋体" w:hAnsi="宋体"/>
      <w:b/>
      <w:kern w:val="24"/>
      <w:szCs w:val="20"/>
    </w:rPr>
  </w:style>
  <w:style w:type="paragraph" w:styleId="8">
    <w:name w:val="heading 6"/>
    <w:basedOn w:val="1"/>
    <w:next w:val="9"/>
    <w:qFormat/>
    <w:uiPriority w:val="0"/>
    <w:pPr>
      <w:keepNext/>
      <w:keepLines/>
      <w:widowControl/>
      <w:overflowPunct w:val="0"/>
      <w:adjustRightInd w:val="0"/>
      <w:snapToGrid w:val="0"/>
      <w:spacing w:beforeLines="20" w:line="220" w:lineRule="atLeast"/>
      <w:ind w:left="720" w:firstLine="0" w:firstLineChars="0"/>
      <w:jc w:val="left"/>
      <w:textAlignment w:val="baseline"/>
      <w:outlineLvl w:val="5"/>
    </w:pPr>
    <w:rPr>
      <w:rFonts w:ascii="Arial Black" w:hAnsi="Arial Black" w:eastAsia="宋体"/>
      <w:spacing w:val="-5"/>
      <w:kern w:val="20"/>
      <w:sz w:val="18"/>
      <w:szCs w:val="20"/>
    </w:rPr>
  </w:style>
  <w:style w:type="paragraph" w:styleId="10">
    <w:name w:val="heading 7"/>
    <w:basedOn w:val="1"/>
    <w:next w:val="9"/>
    <w:qFormat/>
    <w:uiPriority w:val="0"/>
    <w:pPr>
      <w:keepNext/>
      <w:keepLines/>
      <w:widowControl/>
      <w:overflowPunct w:val="0"/>
      <w:adjustRightInd w:val="0"/>
      <w:snapToGrid w:val="0"/>
      <w:spacing w:beforeLines="20" w:line="220" w:lineRule="atLeast"/>
      <w:ind w:firstLine="0" w:firstLineChars="0"/>
      <w:jc w:val="left"/>
      <w:textAlignment w:val="baseline"/>
      <w:outlineLvl w:val="6"/>
    </w:pPr>
    <w:rPr>
      <w:rFonts w:ascii="Arial Black" w:hAnsi="Arial Black" w:eastAsia="宋体"/>
      <w:spacing w:val="-5"/>
      <w:kern w:val="20"/>
      <w:sz w:val="18"/>
      <w:szCs w:val="20"/>
    </w:rPr>
  </w:style>
  <w:style w:type="paragraph" w:styleId="11">
    <w:name w:val="heading 8"/>
    <w:basedOn w:val="1"/>
    <w:next w:val="9"/>
    <w:qFormat/>
    <w:uiPriority w:val="0"/>
    <w:pPr>
      <w:keepNext/>
      <w:keepLines/>
      <w:widowControl/>
      <w:overflowPunct w:val="0"/>
      <w:adjustRightInd w:val="0"/>
      <w:snapToGrid w:val="0"/>
      <w:spacing w:beforeLines="20" w:line="220" w:lineRule="atLeast"/>
      <w:ind w:firstLine="0" w:firstLineChars="0"/>
      <w:jc w:val="left"/>
      <w:textAlignment w:val="baseline"/>
      <w:outlineLvl w:val="7"/>
    </w:pPr>
    <w:rPr>
      <w:rFonts w:ascii="Arial Black" w:hAnsi="Arial Black" w:eastAsia="宋体"/>
      <w:spacing w:val="-5"/>
      <w:kern w:val="20"/>
      <w:sz w:val="18"/>
      <w:szCs w:val="20"/>
    </w:rPr>
  </w:style>
  <w:style w:type="paragraph" w:styleId="12">
    <w:name w:val="heading 9"/>
    <w:basedOn w:val="1"/>
    <w:next w:val="9"/>
    <w:qFormat/>
    <w:uiPriority w:val="0"/>
    <w:pPr>
      <w:keepNext/>
      <w:keepLines/>
      <w:widowControl/>
      <w:overflowPunct w:val="0"/>
      <w:adjustRightInd w:val="0"/>
      <w:snapToGrid w:val="0"/>
      <w:spacing w:beforeLines="20" w:line="220" w:lineRule="atLeast"/>
      <w:ind w:firstLine="0" w:firstLineChars="0"/>
      <w:jc w:val="left"/>
      <w:textAlignment w:val="baseline"/>
      <w:outlineLvl w:val="8"/>
    </w:pPr>
    <w:rPr>
      <w:rFonts w:ascii="Arial Black" w:hAnsi="Arial Black" w:eastAsia="宋体"/>
      <w:spacing w:val="-5"/>
      <w:kern w:val="20"/>
      <w:sz w:val="18"/>
      <w:szCs w:val="20"/>
    </w:rPr>
  </w:style>
  <w:style w:type="character" w:default="1" w:styleId="41">
    <w:name w:val="Default Paragraph Font"/>
    <w:unhideWhenUsed/>
    <w:qFormat/>
    <w:uiPriority w:val="1"/>
  </w:style>
  <w:style w:type="table" w:default="1" w:styleId="47">
    <w:name w:val="Normal Table"/>
    <w:unhideWhenUsed/>
    <w:qFormat/>
    <w:uiPriority w:val="99"/>
    <w:tblPr>
      <w:tblLayout w:type="fixed"/>
      <w:tblCellMar>
        <w:top w:w="0" w:type="dxa"/>
        <w:left w:w="108" w:type="dxa"/>
        <w:bottom w:w="0" w:type="dxa"/>
        <w:right w:w="108" w:type="dxa"/>
      </w:tblCellMar>
    </w:tblPr>
  </w:style>
  <w:style w:type="paragraph" w:styleId="2">
    <w:name w:val="Normal Indent"/>
    <w:basedOn w:val="1"/>
    <w:qFormat/>
    <w:uiPriority w:val="0"/>
    <w:pPr>
      <w:spacing w:line="240" w:lineRule="auto"/>
      <w:ind w:firstLine="420"/>
    </w:pPr>
    <w:rPr>
      <w:rFonts w:eastAsia="宋体"/>
      <w:kern w:val="2"/>
      <w:sz w:val="21"/>
    </w:rPr>
  </w:style>
  <w:style w:type="paragraph" w:styleId="9">
    <w:name w:val="Body Text"/>
    <w:basedOn w:val="1"/>
    <w:qFormat/>
    <w:uiPriority w:val="0"/>
  </w:style>
  <w:style w:type="paragraph" w:styleId="13">
    <w:name w:val="annotation subject"/>
    <w:basedOn w:val="14"/>
    <w:next w:val="14"/>
    <w:qFormat/>
    <w:uiPriority w:val="0"/>
    <w:rPr>
      <w:b/>
      <w:bCs/>
    </w:rPr>
  </w:style>
  <w:style w:type="paragraph" w:styleId="14">
    <w:name w:val="annotation text"/>
    <w:basedOn w:val="1"/>
    <w:qFormat/>
    <w:uiPriority w:val="0"/>
    <w:pPr>
      <w:jc w:val="left"/>
    </w:pPr>
  </w:style>
  <w:style w:type="paragraph" w:styleId="15">
    <w:name w:val="toc 7"/>
    <w:basedOn w:val="1"/>
    <w:next w:val="1"/>
    <w:qFormat/>
    <w:uiPriority w:val="0"/>
    <w:pPr>
      <w:ind w:left="1440"/>
      <w:jc w:val="left"/>
    </w:pPr>
    <w:rPr>
      <w:sz w:val="18"/>
      <w:szCs w:val="18"/>
    </w:rPr>
  </w:style>
  <w:style w:type="paragraph" w:styleId="16">
    <w:name w:val="Body Text First Indent"/>
    <w:basedOn w:val="9"/>
    <w:qFormat/>
    <w:uiPriority w:val="0"/>
    <w:pPr>
      <w:spacing w:line="240" w:lineRule="auto"/>
      <w:ind w:firstLine="420" w:firstLineChars="100"/>
    </w:pPr>
    <w:rPr>
      <w:rFonts w:eastAsia="宋体"/>
      <w:kern w:val="2"/>
      <w:sz w:val="21"/>
    </w:rPr>
  </w:style>
  <w:style w:type="paragraph" w:styleId="17">
    <w:name w:val="Note Heading"/>
    <w:basedOn w:val="1"/>
    <w:next w:val="1"/>
    <w:link w:val="51"/>
    <w:qFormat/>
    <w:uiPriority w:val="0"/>
    <w:pPr>
      <w:spacing w:beforeLines="50" w:afterLines="50" w:line="360" w:lineRule="auto"/>
      <w:ind w:firstLine="420" w:firstLineChars="0"/>
      <w:jc w:val="center"/>
    </w:pPr>
    <w:rPr>
      <w:rFonts w:ascii="仿宋_GB2312" w:hAnsi="宋体"/>
      <w:b/>
      <w:w w:val="90"/>
      <w:kern w:val="2"/>
      <w:szCs w:val="28"/>
    </w:rPr>
  </w:style>
  <w:style w:type="paragraph" w:styleId="18">
    <w:name w:val="caption"/>
    <w:basedOn w:val="1"/>
    <w:next w:val="1"/>
    <w:qFormat/>
    <w:uiPriority w:val="0"/>
    <w:rPr>
      <w:rFonts w:ascii="Arial" w:hAnsi="Arial" w:eastAsia="黑体" w:cs="Arial"/>
      <w:sz w:val="20"/>
      <w:szCs w:val="20"/>
    </w:rPr>
  </w:style>
  <w:style w:type="paragraph" w:styleId="19">
    <w:name w:val="Document Map"/>
    <w:basedOn w:val="1"/>
    <w:qFormat/>
    <w:uiPriority w:val="0"/>
    <w:pPr>
      <w:shd w:val="clear" w:color="auto" w:fill="000080"/>
    </w:pPr>
  </w:style>
  <w:style w:type="paragraph" w:styleId="20">
    <w:name w:val="Body Text Indent"/>
    <w:basedOn w:val="1"/>
    <w:qFormat/>
    <w:uiPriority w:val="0"/>
    <w:pPr>
      <w:ind w:firstLine="0" w:firstLineChars="0"/>
    </w:pPr>
  </w:style>
  <w:style w:type="paragraph" w:styleId="21">
    <w:name w:val="toc 5"/>
    <w:basedOn w:val="1"/>
    <w:next w:val="1"/>
    <w:qFormat/>
    <w:uiPriority w:val="0"/>
    <w:pPr>
      <w:ind w:left="960"/>
      <w:jc w:val="left"/>
    </w:pPr>
    <w:rPr>
      <w:sz w:val="18"/>
      <w:szCs w:val="18"/>
    </w:rPr>
  </w:style>
  <w:style w:type="paragraph" w:styleId="22">
    <w:name w:val="toc 3"/>
    <w:basedOn w:val="1"/>
    <w:next w:val="1"/>
    <w:qFormat/>
    <w:uiPriority w:val="39"/>
    <w:pPr>
      <w:ind w:left="480"/>
      <w:jc w:val="left"/>
    </w:pPr>
    <w:rPr>
      <w:i/>
      <w:iCs/>
      <w:sz w:val="20"/>
      <w:szCs w:val="20"/>
    </w:rPr>
  </w:style>
  <w:style w:type="paragraph" w:styleId="23">
    <w:name w:val="Plain Text"/>
    <w:basedOn w:val="1"/>
    <w:link w:val="52"/>
    <w:qFormat/>
    <w:uiPriority w:val="0"/>
    <w:pPr>
      <w:spacing w:line="240" w:lineRule="auto"/>
      <w:ind w:firstLine="0" w:firstLineChars="0"/>
      <w:jc w:val="center"/>
    </w:pPr>
  </w:style>
  <w:style w:type="paragraph" w:styleId="24">
    <w:name w:val="toc 8"/>
    <w:basedOn w:val="1"/>
    <w:next w:val="1"/>
    <w:qFormat/>
    <w:uiPriority w:val="0"/>
    <w:pPr>
      <w:ind w:left="1680"/>
      <w:jc w:val="left"/>
    </w:pPr>
    <w:rPr>
      <w:sz w:val="18"/>
      <w:szCs w:val="18"/>
    </w:rPr>
  </w:style>
  <w:style w:type="paragraph" w:styleId="25">
    <w:name w:val="Date"/>
    <w:basedOn w:val="1"/>
    <w:next w:val="1"/>
    <w:qFormat/>
    <w:uiPriority w:val="0"/>
    <w:pPr>
      <w:ind w:left="100" w:leftChars="2500"/>
    </w:pPr>
  </w:style>
  <w:style w:type="paragraph" w:styleId="26">
    <w:name w:val="Body Text Indent 2"/>
    <w:basedOn w:val="1"/>
    <w:qFormat/>
    <w:uiPriority w:val="0"/>
    <w:pPr>
      <w:spacing w:line="480" w:lineRule="auto"/>
      <w:ind w:left="420" w:leftChars="200"/>
    </w:pPr>
  </w:style>
  <w:style w:type="paragraph" w:styleId="27">
    <w:name w:val="Balloon Text"/>
    <w:basedOn w:val="1"/>
    <w:qFormat/>
    <w:uiPriority w:val="0"/>
    <w:rPr>
      <w:sz w:val="18"/>
      <w:szCs w:val="18"/>
    </w:rPr>
  </w:style>
  <w:style w:type="paragraph" w:styleId="28">
    <w:name w:val="footer"/>
    <w:basedOn w:val="1"/>
    <w:link w:val="53"/>
    <w:qFormat/>
    <w:uiPriority w:val="99"/>
    <w:pPr>
      <w:tabs>
        <w:tab w:val="center" w:pos="4153"/>
        <w:tab w:val="right" w:pos="8306"/>
      </w:tabs>
      <w:snapToGrid w:val="0"/>
      <w:spacing w:line="240" w:lineRule="auto"/>
      <w:jc w:val="left"/>
    </w:pPr>
    <w:rPr>
      <w:sz w:val="18"/>
      <w:szCs w:val="18"/>
    </w:rPr>
  </w:style>
  <w:style w:type="paragraph" w:styleId="29">
    <w:name w:val="header"/>
    <w:basedOn w:val="1"/>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30">
    <w:name w:val="toc 1"/>
    <w:basedOn w:val="1"/>
    <w:next w:val="1"/>
    <w:qFormat/>
    <w:uiPriority w:val="39"/>
    <w:pPr>
      <w:tabs>
        <w:tab w:val="left" w:pos="1440"/>
        <w:tab w:val="right" w:leader="dot" w:pos="8834"/>
      </w:tabs>
      <w:ind w:firstLine="0" w:firstLineChars="0"/>
      <w:jc w:val="center"/>
    </w:pPr>
    <w:rPr>
      <w:rFonts w:ascii="黑体" w:eastAsia="黑体"/>
      <w:b/>
      <w:bCs/>
      <w:caps/>
      <w:szCs w:val="28"/>
    </w:rPr>
  </w:style>
  <w:style w:type="paragraph" w:styleId="31">
    <w:name w:val="toc 4"/>
    <w:basedOn w:val="1"/>
    <w:next w:val="1"/>
    <w:qFormat/>
    <w:uiPriority w:val="0"/>
    <w:pPr>
      <w:ind w:left="720"/>
      <w:jc w:val="left"/>
    </w:pPr>
    <w:rPr>
      <w:sz w:val="18"/>
      <w:szCs w:val="18"/>
    </w:rPr>
  </w:style>
  <w:style w:type="paragraph" w:styleId="32">
    <w:name w:val="List"/>
    <w:qFormat/>
    <w:uiPriority w:val="0"/>
    <w:pPr>
      <w:keepNext/>
    </w:pPr>
    <w:rPr>
      <w:rFonts w:ascii="Times New Roman" w:hAnsi="Times New Roman" w:eastAsia="宋体" w:cs="Times New Roman"/>
      <w:kern w:val="2"/>
      <w:sz w:val="21"/>
      <w:szCs w:val="24"/>
      <w:lang w:val="en-US" w:eastAsia="zh-CN" w:bidi="ar-SA"/>
    </w:rPr>
  </w:style>
  <w:style w:type="paragraph" w:styleId="33">
    <w:name w:val="toc 6"/>
    <w:basedOn w:val="1"/>
    <w:next w:val="1"/>
    <w:link w:val="54"/>
    <w:qFormat/>
    <w:uiPriority w:val="0"/>
    <w:pPr>
      <w:ind w:left="1200"/>
      <w:jc w:val="left"/>
    </w:pPr>
    <w:rPr>
      <w:rFonts w:eastAsia="宋体"/>
      <w:kern w:val="0"/>
      <w:sz w:val="18"/>
      <w:szCs w:val="18"/>
    </w:rPr>
  </w:style>
  <w:style w:type="paragraph" w:styleId="34">
    <w:name w:val="Body Text Indent 3"/>
    <w:basedOn w:val="1"/>
    <w:qFormat/>
    <w:uiPriority w:val="0"/>
    <w:pPr>
      <w:ind w:left="420" w:leftChars="200"/>
    </w:pPr>
    <w:rPr>
      <w:sz w:val="16"/>
      <w:szCs w:val="16"/>
    </w:rPr>
  </w:style>
  <w:style w:type="paragraph" w:styleId="35">
    <w:name w:val="table of figures"/>
    <w:basedOn w:val="1"/>
    <w:next w:val="1"/>
    <w:qFormat/>
    <w:uiPriority w:val="0"/>
    <w:pPr>
      <w:ind w:left="200" w:leftChars="200" w:hanging="200" w:hangingChars="200"/>
    </w:pPr>
  </w:style>
  <w:style w:type="paragraph" w:styleId="36">
    <w:name w:val="toc 2"/>
    <w:basedOn w:val="1"/>
    <w:next w:val="1"/>
    <w:qFormat/>
    <w:uiPriority w:val="39"/>
    <w:pPr>
      <w:tabs>
        <w:tab w:val="right" w:leader="dot" w:pos="8834"/>
      </w:tabs>
      <w:ind w:left="240"/>
      <w:jc w:val="left"/>
    </w:pPr>
    <w:rPr>
      <w:rFonts w:ascii="宋体" w:hAnsi="宋体" w:eastAsia="宋体"/>
      <w:smallCaps/>
    </w:rPr>
  </w:style>
  <w:style w:type="paragraph" w:styleId="37">
    <w:name w:val="toc 9"/>
    <w:basedOn w:val="1"/>
    <w:next w:val="1"/>
    <w:qFormat/>
    <w:uiPriority w:val="0"/>
    <w:pPr>
      <w:ind w:left="1920"/>
      <w:jc w:val="left"/>
    </w:pPr>
    <w:rPr>
      <w:sz w:val="18"/>
      <w:szCs w:val="18"/>
    </w:rPr>
  </w:style>
  <w:style w:type="paragraph" w:styleId="38">
    <w:name w:val="Body Text 2"/>
    <w:basedOn w:val="1"/>
    <w:qFormat/>
    <w:uiPriority w:val="0"/>
    <w:pPr>
      <w:ind w:right="62" w:rightChars="26" w:firstLine="0" w:firstLineChars="0"/>
    </w:pPr>
    <w:rPr>
      <w:spacing w:val="-20"/>
      <w:sz w:val="21"/>
    </w:rPr>
  </w:style>
  <w:style w:type="paragraph" w:styleId="39">
    <w:name w:val="HTML Preformatted"/>
    <w:basedOn w:val="1"/>
    <w:link w:val="55"/>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20"/>
      <w:jc w:val="left"/>
    </w:pPr>
    <w:rPr>
      <w:rFonts w:ascii="宋体" w:hAnsi="宋体"/>
    </w:rPr>
  </w:style>
  <w:style w:type="paragraph" w:styleId="40">
    <w:name w:val="Normal (Web)"/>
    <w:basedOn w:val="1"/>
    <w:qFormat/>
    <w:uiPriority w:val="0"/>
    <w:pPr>
      <w:widowControl/>
      <w:spacing w:beforeAutospacing="1" w:afterAutospacing="1" w:line="240" w:lineRule="auto"/>
      <w:ind w:firstLine="0" w:firstLineChars="0"/>
      <w:jc w:val="left"/>
    </w:pPr>
    <w:rPr>
      <w:rFonts w:ascii="宋体" w:hAnsi="宋体" w:eastAsia="宋体" w:cs="宋体"/>
      <w:kern w:val="0"/>
    </w:rPr>
  </w:style>
  <w:style w:type="character" w:styleId="42">
    <w:name w:val="Strong"/>
    <w:qFormat/>
    <w:uiPriority w:val="0"/>
    <w:rPr>
      <w:b/>
      <w:bCs/>
    </w:rPr>
  </w:style>
  <w:style w:type="character" w:styleId="43">
    <w:name w:val="page number"/>
    <w:basedOn w:val="41"/>
    <w:qFormat/>
    <w:uiPriority w:val="0"/>
  </w:style>
  <w:style w:type="character" w:styleId="44">
    <w:name w:val="FollowedHyperlink"/>
    <w:qFormat/>
    <w:uiPriority w:val="0"/>
    <w:rPr>
      <w:color w:val="800080"/>
      <w:u w:val="single"/>
    </w:rPr>
  </w:style>
  <w:style w:type="character" w:styleId="45">
    <w:name w:val="Hyperlink"/>
    <w:qFormat/>
    <w:uiPriority w:val="99"/>
    <w:rPr>
      <w:color w:val="0000FF"/>
      <w:u w:val="single"/>
    </w:rPr>
  </w:style>
  <w:style w:type="character" w:styleId="46">
    <w:name w:val="annotation reference"/>
    <w:qFormat/>
    <w:uiPriority w:val="0"/>
    <w:rPr>
      <w:sz w:val="21"/>
      <w:szCs w:val="21"/>
    </w:rPr>
  </w:style>
  <w:style w:type="table" w:styleId="48">
    <w:name w:val="Table Grid"/>
    <w:basedOn w:val="4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49">
    <w:name w:val="表格"/>
    <w:basedOn w:val="1"/>
    <w:qFormat/>
    <w:uiPriority w:val="0"/>
    <w:pPr>
      <w:widowControl/>
      <w:ind w:firstLine="0" w:firstLineChars="0"/>
      <w:jc w:val="left"/>
    </w:pPr>
    <w:rPr>
      <w:rFonts w:ascii="宋体" w:eastAsia="宋体"/>
      <w:color w:val="000000"/>
      <w:sz w:val="21"/>
      <w:szCs w:val="20"/>
    </w:rPr>
  </w:style>
  <w:style w:type="character" w:customStyle="1" w:styleId="50">
    <w:name w:val="标题 1 Char"/>
    <w:link w:val="3"/>
    <w:qFormat/>
    <w:uiPriority w:val="0"/>
    <w:rPr>
      <w:rFonts w:ascii="仿宋_GB2312" w:hAnsi="仿宋_GB2312" w:eastAsia="仿宋"/>
      <w:kern w:val="48"/>
      <w:sz w:val="32"/>
      <w:szCs w:val="32"/>
    </w:rPr>
  </w:style>
  <w:style w:type="character" w:customStyle="1" w:styleId="51">
    <w:name w:val="注释标题 Char"/>
    <w:link w:val="17"/>
    <w:qFormat/>
    <w:uiPriority w:val="0"/>
    <w:rPr>
      <w:rFonts w:ascii="仿宋_GB2312" w:hAnsi="宋体" w:eastAsia="仿宋_GB2312"/>
      <w:b/>
      <w:w w:val="90"/>
      <w:kern w:val="2"/>
      <w:sz w:val="28"/>
      <w:szCs w:val="28"/>
    </w:rPr>
  </w:style>
  <w:style w:type="character" w:customStyle="1" w:styleId="52">
    <w:name w:val="纯文本 Char"/>
    <w:link w:val="23"/>
    <w:qFormat/>
    <w:uiPriority w:val="0"/>
    <w:rPr>
      <w:rFonts w:eastAsia="仿宋_GB2312"/>
      <w:kern w:val="28"/>
      <w:sz w:val="24"/>
      <w:szCs w:val="24"/>
      <w:lang w:val="en-US" w:eastAsia="zh-CN" w:bidi="ar-SA"/>
    </w:rPr>
  </w:style>
  <w:style w:type="character" w:customStyle="1" w:styleId="53">
    <w:name w:val="页脚 Char"/>
    <w:link w:val="28"/>
    <w:qFormat/>
    <w:uiPriority w:val="99"/>
    <w:rPr>
      <w:rFonts w:eastAsia="仿宋_GB2312"/>
      <w:kern w:val="28"/>
      <w:sz w:val="18"/>
      <w:szCs w:val="18"/>
    </w:rPr>
  </w:style>
  <w:style w:type="character" w:customStyle="1" w:styleId="54">
    <w:name w:val="目录 6 Char"/>
    <w:link w:val="33"/>
    <w:qFormat/>
    <w:uiPriority w:val="0"/>
    <w:rPr>
      <w:sz w:val="18"/>
      <w:szCs w:val="18"/>
    </w:rPr>
  </w:style>
  <w:style w:type="character" w:customStyle="1" w:styleId="55">
    <w:name w:val="HTML 预设格式 Char"/>
    <w:link w:val="39"/>
    <w:qFormat/>
    <w:uiPriority w:val="99"/>
    <w:rPr>
      <w:rFonts w:ascii="宋体" w:hAnsi="宋体" w:eastAsia="仿宋_GB2312"/>
      <w:kern w:val="28"/>
      <w:sz w:val="24"/>
      <w:szCs w:val="24"/>
    </w:rPr>
  </w:style>
  <w:style w:type="character" w:customStyle="1" w:styleId="56">
    <w:name w:val="表格正文 Char"/>
    <w:link w:val="57"/>
    <w:qFormat/>
    <w:uiPriority w:val="0"/>
    <w:rPr>
      <w:rFonts w:ascii="仿宋_GB2312" w:hAnsi="宋体" w:eastAsia="仿宋_GB2312"/>
      <w:w w:val="90"/>
      <w:kern w:val="2"/>
      <w:sz w:val="24"/>
      <w:szCs w:val="28"/>
    </w:rPr>
  </w:style>
  <w:style w:type="paragraph" w:customStyle="1" w:styleId="57">
    <w:name w:val="表格正文"/>
    <w:basedOn w:val="1"/>
    <w:link w:val="56"/>
    <w:qFormat/>
    <w:uiPriority w:val="0"/>
    <w:pPr>
      <w:spacing w:line="240" w:lineRule="auto"/>
      <w:ind w:firstLine="0" w:firstLineChars="0"/>
      <w:jc w:val="center"/>
    </w:pPr>
    <w:rPr>
      <w:rFonts w:ascii="仿宋_GB2312" w:hAnsi="宋体"/>
      <w:w w:val="90"/>
      <w:kern w:val="2"/>
      <w:szCs w:val="28"/>
    </w:rPr>
  </w:style>
  <w:style w:type="character" w:customStyle="1" w:styleId="58">
    <w:name w:val="pt181"/>
    <w:qFormat/>
    <w:uiPriority w:val="0"/>
    <w:rPr>
      <w:sz w:val="27"/>
      <w:szCs w:val="27"/>
    </w:rPr>
  </w:style>
  <w:style w:type="character" w:customStyle="1" w:styleId="59">
    <w:name w:val="Char Char Char"/>
    <w:qFormat/>
    <w:uiPriority w:val="0"/>
    <w:rPr>
      <w:rFonts w:ascii="宋体" w:hAnsi="宋体" w:eastAsia="仿宋_GB2312"/>
      <w:b/>
      <w:kern w:val="24"/>
      <w:sz w:val="28"/>
      <w:lang w:val="en-US" w:eastAsia="zh-CN" w:bidi="ar-SA"/>
    </w:rPr>
  </w:style>
  <w:style w:type="character" w:customStyle="1" w:styleId="60">
    <w:name w:val="digest1"/>
    <w:qFormat/>
    <w:uiPriority w:val="0"/>
    <w:rPr>
      <w:color w:val="3A4343"/>
      <w:sz w:val="20"/>
      <w:szCs w:val="20"/>
    </w:rPr>
  </w:style>
  <w:style w:type="character" w:customStyle="1" w:styleId="61">
    <w:name w:val="标题 2 Char Char"/>
    <w:qFormat/>
    <w:uiPriority w:val="0"/>
    <w:rPr>
      <w:rFonts w:ascii="仿宋_GB2312" w:eastAsia="仿宋_GB2312"/>
      <w:b/>
      <w:bCs/>
      <w:kern w:val="44"/>
      <w:sz w:val="24"/>
      <w:szCs w:val="30"/>
      <w:lang w:val="en-US" w:eastAsia="zh-CN" w:bidi="ar-SA"/>
    </w:rPr>
  </w:style>
  <w:style w:type="character" w:customStyle="1" w:styleId="62">
    <w:name w:val="5正文 Char Char"/>
    <w:qFormat/>
    <w:uiPriority w:val="0"/>
    <w:rPr>
      <w:rFonts w:eastAsia="宋体"/>
      <w:sz w:val="21"/>
      <w:szCs w:val="24"/>
      <w:lang w:val="en-US" w:eastAsia="zh-CN" w:bidi="ar-SA"/>
    </w:rPr>
  </w:style>
  <w:style w:type="character" w:customStyle="1" w:styleId="63">
    <w:name w:val="Char Char4"/>
    <w:qFormat/>
    <w:uiPriority w:val="0"/>
    <w:rPr>
      <w:rFonts w:ascii="黑体" w:eastAsia="黑体"/>
      <w:b/>
      <w:bCs/>
      <w:sz w:val="28"/>
      <w:szCs w:val="30"/>
      <w:lang w:val="en-US" w:eastAsia="zh-CN" w:bidi="ar-SA"/>
    </w:rPr>
  </w:style>
  <w:style w:type="character" w:customStyle="1" w:styleId="64">
    <w:name w:val="slink1"/>
    <w:qFormat/>
    <w:uiPriority w:val="0"/>
    <w:rPr>
      <w:rFonts w:hint="default" w:ascii="仿宋" w:hAnsi="仿宋"/>
      <w:sz w:val="18"/>
      <w:szCs w:val="18"/>
      <w:u w:val="none"/>
    </w:rPr>
  </w:style>
  <w:style w:type="character" w:customStyle="1" w:styleId="65">
    <w:name w:val="Char Char1"/>
    <w:qFormat/>
    <w:uiPriority w:val="0"/>
    <w:rPr>
      <w:rFonts w:ascii="Arial" w:hAnsi="Arial" w:eastAsia="黑体"/>
      <w:b/>
      <w:bCs/>
      <w:kern w:val="28"/>
      <w:sz w:val="28"/>
      <w:szCs w:val="28"/>
      <w:lang w:val="en-US" w:eastAsia="zh-CN" w:bidi="ar-SA"/>
    </w:rPr>
  </w:style>
  <w:style w:type="character" w:customStyle="1" w:styleId="66">
    <w:name w:val="Char Char3"/>
    <w:qFormat/>
    <w:uiPriority w:val="0"/>
    <w:rPr>
      <w:rFonts w:ascii="黑体" w:eastAsia="黑体"/>
      <w:b/>
      <w:bCs/>
      <w:sz w:val="28"/>
      <w:szCs w:val="28"/>
      <w:lang w:val="en-US" w:eastAsia="zh-CN" w:bidi="ar-SA"/>
    </w:rPr>
  </w:style>
  <w:style w:type="character" w:customStyle="1" w:styleId="67">
    <w:name w:val="Char Char5"/>
    <w:qFormat/>
    <w:uiPriority w:val="0"/>
    <w:rPr>
      <w:rFonts w:ascii="仿宋_GB2312" w:hAnsi="华文宋体" w:eastAsia="仿宋_GB2312"/>
      <w:b/>
      <w:bCs/>
      <w:kern w:val="48"/>
      <w:sz w:val="32"/>
      <w:szCs w:val="32"/>
      <w:lang w:val="en-US" w:eastAsia="zh-CN" w:bidi="ar-SA"/>
    </w:rPr>
  </w:style>
  <w:style w:type="character" w:customStyle="1" w:styleId="68">
    <w:name w:val="hj1"/>
    <w:qFormat/>
    <w:uiPriority w:val="0"/>
    <w:rPr>
      <w:sz w:val="20"/>
      <w:szCs w:val="20"/>
    </w:rPr>
  </w:style>
  <w:style w:type="character" w:customStyle="1" w:styleId="69">
    <w:name w:val="纯文本 Char1"/>
    <w:qFormat/>
    <w:uiPriority w:val="99"/>
    <w:rPr>
      <w:rFonts w:ascii="宋体" w:hAnsi="Courier New" w:eastAsia="宋体"/>
    </w:rPr>
  </w:style>
  <w:style w:type="character" w:customStyle="1" w:styleId="70">
    <w:name w:val="font01"/>
    <w:basedOn w:val="41"/>
    <w:qFormat/>
    <w:uiPriority w:val="0"/>
    <w:rPr>
      <w:rFonts w:hint="default" w:ascii="仿宋_GB2312" w:eastAsia="仿宋_GB2312" w:cs="仿宋_GB2312"/>
      <w:color w:val="000000"/>
      <w:sz w:val="21"/>
      <w:szCs w:val="21"/>
      <w:u w:val="none"/>
    </w:rPr>
  </w:style>
  <w:style w:type="character" w:customStyle="1" w:styleId="71">
    <w:name w:val="Char Char2"/>
    <w:qFormat/>
    <w:uiPriority w:val="0"/>
    <w:rPr>
      <w:rFonts w:ascii="黑体" w:eastAsia="黑体"/>
      <w:b/>
      <w:bCs/>
      <w:kern w:val="44"/>
      <w:sz w:val="28"/>
      <w:szCs w:val="28"/>
      <w:lang w:val="en-US" w:eastAsia="zh-CN" w:bidi="ar-SA"/>
    </w:rPr>
  </w:style>
  <w:style w:type="character" w:customStyle="1" w:styleId="72">
    <w:name w:val="样式5 Char Char"/>
    <w:link w:val="73"/>
    <w:qFormat/>
    <w:uiPriority w:val="0"/>
    <w:rPr>
      <w:rFonts w:ascii="仿宋_GB2312" w:eastAsia="仿宋_GB2312"/>
      <w:b/>
      <w:kern w:val="44"/>
      <w:sz w:val="24"/>
      <w:szCs w:val="30"/>
      <w:lang w:val="en-US" w:eastAsia="zh-CN" w:bidi="ar-SA"/>
    </w:rPr>
  </w:style>
  <w:style w:type="paragraph" w:customStyle="1" w:styleId="73">
    <w:name w:val="样式5"/>
    <w:basedOn w:val="74"/>
    <w:link w:val="72"/>
    <w:qFormat/>
    <w:uiPriority w:val="0"/>
    <w:pPr>
      <w:tabs>
        <w:tab w:val="left" w:pos="840"/>
      </w:tabs>
      <w:ind w:left="0" w:firstLine="0"/>
    </w:pPr>
  </w:style>
  <w:style w:type="paragraph" w:customStyle="1" w:styleId="74">
    <w:name w:val="样式3"/>
    <w:basedOn w:val="4"/>
    <w:qFormat/>
    <w:uiPriority w:val="0"/>
    <w:pPr>
      <w:tabs>
        <w:tab w:val="left" w:pos="840"/>
      </w:tabs>
      <w:spacing w:line="400" w:lineRule="exact"/>
      <w:ind w:left="840" w:hanging="420"/>
      <w:jc w:val="left"/>
    </w:pPr>
    <w:rPr>
      <w:rFonts w:ascii="仿宋_GB2312"/>
      <w:kern w:val="44"/>
    </w:rPr>
  </w:style>
  <w:style w:type="character" w:customStyle="1" w:styleId="75">
    <w:name w:val="cn1"/>
    <w:qFormat/>
    <w:uiPriority w:val="0"/>
    <w:rPr>
      <w:rFonts w:hint="default" w:ascii="仿宋" w:hAnsi="仿宋"/>
      <w:color w:val="333333"/>
      <w:sz w:val="18"/>
      <w:szCs w:val="18"/>
      <w:u w:val="none"/>
    </w:rPr>
  </w:style>
  <w:style w:type="character" w:customStyle="1" w:styleId="76">
    <w:name w:val="标题 1 Char Char"/>
    <w:qFormat/>
    <w:uiPriority w:val="0"/>
    <w:rPr>
      <w:rFonts w:ascii="仿宋_GB2312" w:eastAsia="仿宋_GB2312"/>
      <w:b/>
      <w:bCs/>
      <w:spacing w:val="-14"/>
      <w:kern w:val="48"/>
      <w:sz w:val="32"/>
      <w:szCs w:val="30"/>
      <w:lang w:val="en-US" w:eastAsia="zh-CN" w:bidi="ar-SA"/>
    </w:rPr>
  </w:style>
  <w:style w:type="character" w:customStyle="1" w:styleId="77">
    <w:name w:val="font41"/>
    <w:basedOn w:val="41"/>
    <w:qFormat/>
    <w:uiPriority w:val="0"/>
    <w:rPr>
      <w:rFonts w:hint="default" w:ascii="Times New Roman" w:hAnsi="Times New Roman" w:cs="Times New Roman"/>
      <w:color w:val="000000"/>
      <w:sz w:val="21"/>
      <w:szCs w:val="21"/>
      <w:u w:val="none"/>
    </w:rPr>
  </w:style>
  <w:style w:type="character" w:customStyle="1" w:styleId="78">
    <w:name w:val="样式 标题 5 + 段前: 0.2 行 Char Char"/>
    <w:qFormat/>
    <w:uiPriority w:val="0"/>
    <w:rPr>
      <w:rFonts w:ascii="宋体" w:hAnsi="宋体" w:eastAsia="宋体"/>
      <w:b/>
      <w:bCs/>
      <w:kern w:val="24"/>
      <w:sz w:val="28"/>
      <w:lang w:val="en-US" w:eastAsia="zh-CN" w:bidi="ar-SA"/>
    </w:rPr>
  </w:style>
  <w:style w:type="character" w:customStyle="1" w:styleId="79">
    <w:name w:val="标题 3 Char Char"/>
    <w:qFormat/>
    <w:uiPriority w:val="0"/>
    <w:rPr>
      <w:rFonts w:ascii="仿宋_GB2312" w:eastAsia="仿宋_GB2312"/>
      <w:b/>
      <w:bCs/>
      <w:kern w:val="44"/>
      <w:sz w:val="24"/>
      <w:szCs w:val="28"/>
      <w:lang w:val="en-US" w:eastAsia="zh-CN" w:bidi="ar-SA"/>
    </w:rPr>
  </w:style>
  <w:style w:type="character" w:customStyle="1" w:styleId="80">
    <w:name w:val="font31"/>
    <w:qFormat/>
    <w:uiPriority w:val="0"/>
    <w:rPr>
      <w:rFonts w:hint="default" w:ascii="仿宋" w:hAnsi="仿宋"/>
      <w:color w:val="1C3B7B"/>
      <w:sz w:val="21"/>
      <w:szCs w:val="21"/>
    </w:rPr>
  </w:style>
  <w:style w:type="character" w:customStyle="1" w:styleId="81">
    <w:name w:val="font11"/>
    <w:basedOn w:val="41"/>
    <w:qFormat/>
    <w:uiPriority w:val="0"/>
    <w:rPr>
      <w:rFonts w:hint="eastAsia" w:ascii="仿宋" w:hAnsi="仿宋" w:eastAsia="仿宋" w:cs="仿宋"/>
      <w:color w:val="000000"/>
      <w:sz w:val="22"/>
      <w:szCs w:val="22"/>
      <w:u w:val="none"/>
    </w:rPr>
  </w:style>
  <w:style w:type="paragraph" w:customStyle="1" w:styleId="82">
    <w:name w:val="TOC 标题1"/>
    <w:basedOn w:val="3"/>
    <w:next w:val="1"/>
    <w:qFormat/>
    <w:uiPriority w:val="39"/>
    <w:pPr>
      <w:widowControl/>
      <w:adjustRightInd/>
      <w:snapToGrid/>
      <w:spacing w:beforeLines="0" w:afterLines="0" w:line="276" w:lineRule="auto"/>
      <w:jc w:val="left"/>
      <w:outlineLvl w:val="9"/>
    </w:pPr>
    <w:rPr>
      <w:rFonts w:ascii="Cambria" w:hAnsi="Cambria" w:eastAsia="宋体"/>
      <w:bCs/>
      <w:color w:val="365F91"/>
      <w:kern w:val="0"/>
      <w:sz w:val="28"/>
      <w:szCs w:val="28"/>
    </w:rPr>
  </w:style>
  <w:style w:type="paragraph" w:customStyle="1" w:styleId="83">
    <w:name w:val="样式4"/>
    <w:basedOn w:val="1"/>
    <w:qFormat/>
    <w:uiPriority w:val="0"/>
    <w:pPr>
      <w:tabs>
        <w:tab w:val="left" w:pos="1320"/>
      </w:tabs>
      <w:ind w:left="1320" w:hanging="420" w:firstLineChars="0"/>
    </w:pPr>
  </w:style>
  <w:style w:type="paragraph" w:customStyle="1" w:styleId="84">
    <w:name w:val="表标题"/>
    <w:basedOn w:val="1"/>
    <w:next w:val="23"/>
    <w:qFormat/>
    <w:uiPriority w:val="0"/>
    <w:pPr>
      <w:keepNext/>
      <w:snapToGrid w:val="0"/>
      <w:spacing w:line="240" w:lineRule="auto"/>
      <w:ind w:firstLine="0" w:firstLineChars="0"/>
      <w:jc w:val="center"/>
      <w:textAlignment w:val="baseline"/>
    </w:pPr>
    <w:rPr>
      <w:rFonts w:ascii="宋体" w:hAnsi="宋体" w:eastAsia="宋体"/>
      <w:b/>
      <w:bCs/>
    </w:rPr>
  </w:style>
  <w:style w:type="paragraph" w:customStyle="1" w:styleId="85">
    <w:name w:val="Char"/>
    <w:basedOn w:val="1"/>
    <w:qFormat/>
    <w:uiPriority w:val="0"/>
    <w:pPr>
      <w:spacing w:line="240" w:lineRule="auto"/>
      <w:ind w:firstLine="0" w:firstLineChars="0"/>
    </w:pPr>
    <w:rPr>
      <w:rFonts w:ascii="Tahoma" w:hAnsi="Tahoma" w:eastAsia="宋体"/>
      <w:kern w:val="2"/>
      <w:szCs w:val="20"/>
    </w:rPr>
  </w:style>
  <w:style w:type="paragraph" w:customStyle="1" w:styleId="86">
    <w:name w:val="sun"/>
    <w:basedOn w:val="1"/>
    <w:qFormat/>
    <w:uiPriority w:val="0"/>
    <w:pPr>
      <w:adjustRightInd w:val="0"/>
      <w:spacing w:line="360" w:lineRule="auto"/>
      <w:ind w:firstLine="567" w:firstLineChars="0"/>
      <w:textAlignment w:val="baseline"/>
    </w:pPr>
    <w:rPr>
      <w:rFonts w:eastAsia="宋体"/>
      <w:szCs w:val="20"/>
    </w:rPr>
  </w:style>
  <w:style w:type="paragraph" w:customStyle="1" w:styleId="87">
    <w:name w:val="Char Char Char Char"/>
    <w:basedOn w:val="1"/>
    <w:qFormat/>
    <w:uiPriority w:val="0"/>
    <w:pPr>
      <w:tabs>
        <w:tab w:val="left" w:pos="425"/>
      </w:tabs>
      <w:spacing w:line="240" w:lineRule="auto"/>
      <w:ind w:left="425" w:hanging="425" w:firstLineChars="0"/>
    </w:pPr>
  </w:style>
  <w:style w:type="paragraph" w:customStyle="1" w:styleId="88">
    <w:name w:val="Char Char Char Char Char Char Char"/>
    <w:basedOn w:val="1"/>
    <w:qFormat/>
    <w:uiPriority w:val="0"/>
    <w:pPr>
      <w:widowControl/>
      <w:spacing w:line="240" w:lineRule="exact"/>
      <w:ind w:firstLine="0" w:firstLineChars="0"/>
      <w:jc w:val="left"/>
    </w:pPr>
    <w:rPr>
      <w:rFonts w:ascii="Verdana" w:hAnsi="Verdana"/>
      <w:kern w:val="0"/>
      <w:szCs w:val="20"/>
      <w:lang w:eastAsia="en-US"/>
    </w:rPr>
  </w:style>
  <w:style w:type="paragraph" w:customStyle="1" w:styleId="89">
    <w:name w:val="2 Char Char Char"/>
    <w:basedOn w:val="1"/>
    <w:qFormat/>
    <w:uiPriority w:val="0"/>
    <w:pPr>
      <w:spacing w:line="240" w:lineRule="auto"/>
      <w:ind w:firstLine="0" w:firstLineChars="0"/>
    </w:pPr>
    <w:rPr>
      <w:rFonts w:ascii="Tahoma" w:hAnsi="Tahoma" w:eastAsia="宋体"/>
      <w:kern w:val="2"/>
      <w:szCs w:val="20"/>
    </w:rPr>
  </w:style>
  <w:style w:type="paragraph" w:customStyle="1" w:styleId="90">
    <w:name w:val="Char Char Char Char Char Char Char Char Char Char Char Char Char Char Char Char Char Char Char Char Char Char Char Char Char Char Char Char Char Char Char Char Char Char"/>
    <w:basedOn w:val="1"/>
    <w:qFormat/>
    <w:uiPriority w:val="0"/>
    <w:pPr>
      <w:spacing w:line="240" w:lineRule="auto"/>
      <w:ind w:firstLine="0" w:firstLineChars="0"/>
    </w:pPr>
    <w:rPr>
      <w:rFonts w:ascii="Tahoma" w:hAnsi="Tahoma" w:eastAsia="宋体"/>
      <w:kern w:val="2"/>
      <w:szCs w:val="20"/>
    </w:rPr>
  </w:style>
  <w:style w:type="paragraph" w:customStyle="1" w:styleId="91">
    <w:name w:val="列出段落1"/>
    <w:basedOn w:val="1"/>
    <w:qFormat/>
    <w:uiPriority w:val="0"/>
    <w:pPr>
      <w:spacing w:line="360" w:lineRule="auto"/>
      <w:ind w:firstLine="200"/>
    </w:pPr>
    <w:rPr>
      <w:rFonts w:ascii="仿宋_GB2312" w:hAnsi="宋体"/>
      <w:w w:val="90"/>
      <w:szCs w:val="28"/>
    </w:rPr>
  </w:style>
  <w:style w:type="paragraph" w:customStyle="1" w:styleId="92">
    <w:name w:val="xl24"/>
    <w:basedOn w:val="1"/>
    <w:qFormat/>
    <w:uiPriority w:val="0"/>
    <w:pPr>
      <w:widowControl/>
      <w:pBdr>
        <w:left w:val="single" w:color="auto" w:sz="4" w:space="0"/>
        <w:bottom w:val="single" w:color="auto" w:sz="4" w:space="0"/>
        <w:right w:val="single" w:color="auto" w:sz="4" w:space="0"/>
      </w:pBdr>
      <w:spacing w:beforeAutospacing="1" w:afterAutospacing="1" w:line="240" w:lineRule="auto"/>
      <w:ind w:firstLine="0" w:firstLineChars="0"/>
      <w:jc w:val="center"/>
    </w:pPr>
    <w:rPr>
      <w:rFonts w:eastAsia="宋体"/>
      <w:kern w:val="0"/>
      <w:sz w:val="21"/>
      <w:szCs w:val="21"/>
    </w:rPr>
  </w:style>
  <w:style w:type="paragraph" w:customStyle="1" w:styleId="93">
    <w:name w:val="Char Char Char Char1"/>
    <w:basedOn w:val="1"/>
    <w:qFormat/>
    <w:uiPriority w:val="0"/>
    <w:pPr>
      <w:spacing w:line="240" w:lineRule="auto"/>
      <w:ind w:firstLine="0" w:firstLineChars="0"/>
    </w:pPr>
    <w:rPr>
      <w:rFonts w:ascii="Tahoma" w:hAnsi="Tahoma" w:eastAsia="宋体"/>
      <w:kern w:val="2"/>
      <w:szCs w:val="20"/>
    </w:rPr>
  </w:style>
  <w:style w:type="paragraph" w:customStyle="1" w:styleId="94">
    <w:name w:val="样式 标题 6 + 段前: 0.2 行"/>
    <w:basedOn w:val="8"/>
    <w:qFormat/>
    <w:uiPriority w:val="0"/>
    <w:pPr>
      <w:tabs>
        <w:tab w:val="left" w:pos="0"/>
      </w:tabs>
      <w:spacing w:beforeLines="0" w:line="360" w:lineRule="auto"/>
    </w:pPr>
    <w:rPr>
      <w:sz w:val="24"/>
      <w:szCs w:val="24"/>
    </w:rPr>
  </w:style>
  <w:style w:type="paragraph" w:customStyle="1" w:styleId="95">
    <w:name w:val="样式 列表 + 段前: 3.9 磅"/>
    <w:basedOn w:val="32"/>
    <w:qFormat/>
    <w:uiPriority w:val="0"/>
    <w:pPr>
      <w:ind w:left="-77" w:leftChars="-45" w:hanging="31" w:hangingChars="17"/>
      <w:jc w:val="center"/>
    </w:pPr>
    <w:rPr>
      <w:sz w:val="18"/>
      <w:szCs w:val="20"/>
    </w:rPr>
  </w:style>
  <w:style w:type="paragraph" w:customStyle="1" w:styleId="96">
    <w:name w:val="标题4"/>
    <w:basedOn w:val="6"/>
    <w:qFormat/>
    <w:uiPriority w:val="0"/>
    <w:pPr>
      <w:tabs>
        <w:tab w:val="left" w:pos="1620"/>
      </w:tabs>
      <w:spacing w:before="93" w:after="93" w:line="360" w:lineRule="auto"/>
      <w:ind w:left="1622" w:hanging="720"/>
      <w:outlineLvl w:val="9"/>
    </w:pPr>
    <w:rPr>
      <w:rFonts w:ascii="Times New Roman" w:hAnsi="Times New Roman" w:eastAsia="楷体_GB2312"/>
    </w:rPr>
  </w:style>
  <w:style w:type="paragraph" w:customStyle="1" w:styleId="97">
    <w:name w:val="Char1"/>
    <w:basedOn w:val="1"/>
    <w:qFormat/>
    <w:uiPriority w:val="0"/>
    <w:pPr>
      <w:spacing w:line="240" w:lineRule="auto"/>
      <w:ind w:firstLine="0" w:firstLineChars="0"/>
    </w:pPr>
    <w:rPr>
      <w:rFonts w:ascii="Tahoma" w:hAnsi="Tahoma" w:eastAsia="宋体"/>
      <w:kern w:val="2"/>
      <w:szCs w:val="20"/>
    </w:rPr>
  </w:style>
  <w:style w:type="paragraph" w:customStyle="1" w:styleId="98">
    <w:name w:val="List Paragraph"/>
    <w:basedOn w:val="1"/>
    <w:qFormat/>
    <w:uiPriority w:val="1"/>
    <w:pPr>
      <w:ind w:left="1745" w:hanging="182"/>
    </w:pPr>
    <w:rPr>
      <w:rFonts w:ascii="宋体" w:hAnsi="宋体" w:eastAsia="宋体" w:cs="宋体"/>
      <w:lang w:val="zh-CN" w:bidi="zh-CN"/>
    </w:rPr>
  </w:style>
  <w:style w:type="paragraph" w:customStyle="1" w:styleId="9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00">
    <w:name w:val="样式1"/>
    <w:basedOn w:val="1"/>
    <w:qFormat/>
    <w:uiPriority w:val="0"/>
    <w:pPr>
      <w:tabs>
        <w:tab w:val="left" w:pos="2320"/>
      </w:tabs>
      <w:ind w:left="2320" w:hanging="580"/>
    </w:pPr>
  </w:style>
  <w:style w:type="paragraph" w:customStyle="1" w:styleId="101">
    <w:name w:val="修订1"/>
    <w:unhideWhenUsed/>
    <w:qFormat/>
    <w:uiPriority w:val="99"/>
    <w:rPr>
      <w:rFonts w:ascii="Times New Roman" w:hAnsi="Times New Roman" w:eastAsia="仿宋_GB2312" w:cs="Times New Roman"/>
      <w:kern w:val="28"/>
      <w:sz w:val="24"/>
      <w:szCs w:val="24"/>
      <w:lang w:val="en-US" w:eastAsia="zh-CN" w:bidi="ar-SA"/>
    </w:rPr>
  </w:style>
  <w:style w:type="paragraph" w:customStyle="1" w:styleId="102">
    <w:name w:val="样式2"/>
    <w:basedOn w:val="4"/>
    <w:qFormat/>
    <w:uiPriority w:val="0"/>
    <w:pPr>
      <w:tabs>
        <w:tab w:val="left" w:pos="1200"/>
      </w:tabs>
      <w:spacing w:line="400" w:lineRule="exact"/>
      <w:ind w:left="1200" w:hanging="420"/>
      <w:jc w:val="left"/>
    </w:pPr>
    <w:rPr>
      <w:rFonts w:ascii="仿宋_GB2312"/>
      <w:kern w:val="44"/>
    </w:rPr>
  </w:style>
  <w:style w:type="paragraph" w:customStyle="1" w:styleId="103">
    <w:name w:val="Char1 Char Char Char"/>
    <w:basedOn w:val="1"/>
    <w:qFormat/>
    <w:uiPriority w:val="0"/>
    <w:pPr>
      <w:tabs>
        <w:tab w:val="left" w:pos="720"/>
      </w:tabs>
      <w:spacing w:line="240" w:lineRule="auto"/>
      <w:ind w:left="720" w:hanging="720" w:firstLineChars="0"/>
    </w:pPr>
    <w:rPr>
      <w:rFonts w:eastAsia="宋体"/>
      <w:kern w:val="2"/>
    </w:rPr>
  </w:style>
  <w:style w:type="paragraph" w:customStyle="1" w:styleId="104">
    <w:name w:val="样式 表标题 + 段前: 0.2 行"/>
    <w:basedOn w:val="84"/>
    <w:qFormat/>
    <w:uiPriority w:val="0"/>
    <w:pPr>
      <w:spacing w:beforeLines="50" w:line="360" w:lineRule="auto"/>
      <w:ind w:right="74"/>
    </w:pPr>
    <w:rPr>
      <w:szCs w:val="20"/>
    </w:rPr>
  </w:style>
  <w:style w:type="paragraph" w:customStyle="1" w:styleId="105">
    <w:name w:val="正文缩进2字符"/>
    <w:basedOn w:val="1"/>
    <w:qFormat/>
    <w:uiPriority w:val="0"/>
    <w:pPr>
      <w:ind w:firstLine="420"/>
      <w:jc w:val="center"/>
    </w:pPr>
    <w:rPr>
      <w:bCs/>
    </w:rPr>
  </w:style>
  <w:style w:type="paragraph" w:customStyle="1" w:styleId="106">
    <w:name w:val="样式 标题 5 + 段前: 0.2 行"/>
    <w:basedOn w:val="7"/>
    <w:qFormat/>
    <w:uiPriority w:val="0"/>
    <w:pPr>
      <w:spacing w:beforeLines="30" w:afterLines="30" w:line="380" w:lineRule="exact"/>
    </w:pPr>
    <w:rPr>
      <w:rFonts w:ascii="Times New Roman" w:hAnsi="Times New Roman"/>
      <w:bCs/>
      <w:sz w:val="24"/>
    </w:rPr>
  </w:style>
  <w:style w:type="paragraph" w:customStyle="1" w:styleId="107">
    <w:name w:val="2 Char"/>
    <w:basedOn w:val="1"/>
    <w:qFormat/>
    <w:uiPriority w:val="0"/>
    <w:pPr>
      <w:spacing w:line="240" w:lineRule="auto"/>
      <w:ind w:firstLine="0" w:firstLineChars="0"/>
    </w:pPr>
    <w:rPr>
      <w:rFonts w:ascii="Tahoma" w:hAnsi="Tahoma" w:eastAsia="宋体"/>
      <w:kern w:val="2"/>
      <w:szCs w:val="20"/>
    </w:rPr>
  </w:style>
  <w:style w:type="paragraph" w:customStyle="1" w:styleId="108">
    <w:name w:val="样式 标题 5 + 段前: 0.2 行 段后: 0.2 行"/>
    <w:basedOn w:val="7"/>
    <w:qFormat/>
    <w:uiPriority w:val="0"/>
    <w:pPr>
      <w:autoSpaceDE/>
      <w:autoSpaceDN/>
      <w:adjustRightInd/>
      <w:snapToGrid/>
      <w:spacing w:beforeLines="0" w:afterLines="20"/>
      <w:textAlignment w:val="auto"/>
    </w:pPr>
    <w:rPr>
      <w:rFonts w:ascii="Arial" w:hAnsi="Arial" w:cs="宋体"/>
      <w:bCs/>
      <w:kern w:val="2"/>
      <w:sz w:val="24"/>
    </w:rPr>
  </w:style>
  <w:style w:type="paragraph" w:customStyle="1" w:styleId="109">
    <w:name w:val="图标题"/>
    <w:basedOn w:val="1"/>
    <w:qFormat/>
    <w:uiPriority w:val="0"/>
    <w:pPr>
      <w:ind w:firstLine="0" w:firstLineChars="0"/>
      <w:jc w:val="center"/>
    </w:pPr>
    <w:rPr>
      <w:b/>
    </w:rPr>
  </w:style>
  <w:style w:type="paragraph" w:customStyle="1" w:styleId="110">
    <w:name w:val="1"/>
    <w:basedOn w:val="1"/>
    <w:next w:val="34"/>
    <w:qFormat/>
    <w:uiPriority w:val="0"/>
    <w:pPr>
      <w:spacing w:line="240" w:lineRule="auto"/>
      <w:jc w:val="left"/>
    </w:pPr>
    <w:rPr>
      <w:rFonts w:ascii="宋体" w:hAnsi="宋体" w:eastAsia="宋体"/>
      <w:kern w:val="2"/>
    </w:rPr>
  </w:style>
  <w:style w:type="paragraph" w:customStyle="1" w:styleId="111">
    <w:name w:val="5正文"/>
    <w:basedOn w:val="1"/>
    <w:qFormat/>
    <w:uiPriority w:val="0"/>
    <w:pPr>
      <w:ind w:firstLine="200"/>
    </w:pPr>
    <w:rPr>
      <w:rFonts w:eastAsia="宋体"/>
      <w:kern w:val="0"/>
      <w:sz w:val="21"/>
    </w:rPr>
  </w:style>
  <w:style w:type="paragraph" w:customStyle="1" w:styleId="112">
    <w:name w:val="2 Char Char Char Char"/>
    <w:basedOn w:val="1"/>
    <w:qFormat/>
    <w:uiPriority w:val="0"/>
    <w:pPr>
      <w:spacing w:line="240" w:lineRule="auto"/>
      <w:ind w:firstLine="0" w:firstLineChars="0"/>
    </w:pPr>
    <w:rPr>
      <w:rFonts w:ascii="Tahoma" w:hAnsi="Tahoma" w:eastAsia="宋体"/>
      <w:kern w:val="2"/>
      <w:szCs w:val="20"/>
    </w:rPr>
  </w:style>
  <w:style w:type="paragraph" w:customStyle="1" w:styleId="113">
    <w:name w:val="Table Paragraph"/>
    <w:basedOn w:val="1"/>
    <w:qFormat/>
    <w:uiPriority w:val="1"/>
    <w:pPr>
      <w:jc w:val="center"/>
    </w:pPr>
    <w:rPr>
      <w:rFonts w:ascii="宋体" w:hAnsi="宋体" w:eastAsia="宋体" w:cs="宋体"/>
      <w:lang w:val="zh-CN" w:bidi="zh-CN"/>
    </w:rPr>
  </w:style>
  <w:style w:type="table" w:customStyle="1" w:styleId="114">
    <w:name w:val="Table Normal"/>
    <w:unhideWhenUsed/>
    <w:qFormat/>
    <w:uiPriority w:val="0"/>
    <w:tblPr>
      <w:tblLayout w:type="fixed"/>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9" Type="http://schemas.openxmlformats.org/officeDocument/2006/relationships/image" Target="media/image43.wmf"/><Relationship Id="rId98" Type="http://schemas.openxmlformats.org/officeDocument/2006/relationships/oleObject" Target="embeddings/oleObject43.bin"/><Relationship Id="rId97" Type="http://schemas.openxmlformats.org/officeDocument/2006/relationships/image" Target="media/image42.wmf"/><Relationship Id="rId96" Type="http://schemas.openxmlformats.org/officeDocument/2006/relationships/oleObject" Target="embeddings/oleObject42.bin"/><Relationship Id="rId95" Type="http://schemas.openxmlformats.org/officeDocument/2006/relationships/image" Target="media/image41.wmf"/><Relationship Id="rId94" Type="http://schemas.openxmlformats.org/officeDocument/2006/relationships/oleObject" Target="embeddings/oleObject41.bin"/><Relationship Id="rId93" Type="http://schemas.openxmlformats.org/officeDocument/2006/relationships/image" Target="media/image40.wmf"/><Relationship Id="rId92" Type="http://schemas.openxmlformats.org/officeDocument/2006/relationships/oleObject" Target="embeddings/oleObject40.bin"/><Relationship Id="rId91" Type="http://schemas.openxmlformats.org/officeDocument/2006/relationships/image" Target="media/image39.wmf"/><Relationship Id="rId90" Type="http://schemas.openxmlformats.org/officeDocument/2006/relationships/oleObject" Target="embeddings/oleObject39.bin"/><Relationship Id="rId9" Type="http://schemas.openxmlformats.org/officeDocument/2006/relationships/header" Target="header4.xml"/><Relationship Id="rId89" Type="http://schemas.openxmlformats.org/officeDocument/2006/relationships/image" Target="media/image38.wmf"/><Relationship Id="rId88" Type="http://schemas.openxmlformats.org/officeDocument/2006/relationships/oleObject" Target="embeddings/oleObject38.bin"/><Relationship Id="rId87" Type="http://schemas.openxmlformats.org/officeDocument/2006/relationships/image" Target="media/image37.wmf"/><Relationship Id="rId86" Type="http://schemas.openxmlformats.org/officeDocument/2006/relationships/oleObject" Target="embeddings/oleObject37.bin"/><Relationship Id="rId85" Type="http://schemas.openxmlformats.org/officeDocument/2006/relationships/image" Target="media/image36.wmf"/><Relationship Id="rId84" Type="http://schemas.openxmlformats.org/officeDocument/2006/relationships/oleObject" Target="embeddings/oleObject36.bin"/><Relationship Id="rId83" Type="http://schemas.openxmlformats.org/officeDocument/2006/relationships/image" Target="media/image35.wmf"/><Relationship Id="rId82" Type="http://schemas.openxmlformats.org/officeDocument/2006/relationships/oleObject" Target="embeddings/oleObject35.bin"/><Relationship Id="rId81" Type="http://schemas.openxmlformats.org/officeDocument/2006/relationships/image" Target="media/image34.wmf"/><Relationship Id="rId80" Type="http://schemas.openxmlformats.org/officeDocument/2006/relationships/oleObject" Target="embeddings/oleObject34.bin"/><Relationship Id="rId8" Type="http://schemas.openxmlformats.org/officeDocument/2006/relationships/footer" Target="footer3.xml"/><Relationship Id="rId79" Type="http://schemas.openxmlformats.org/officeDocument/2006/relationships/image" Target="media/image33.wmf"/><Relationship Id="rId78" Type="http://schemas.openxmlformats.org/officeDocument/2006/relationships/oleObject" Target="embeddings/oleObject33.bin"/><Relationship Id="rId77" Type="http://schemas.openxmlformats.org/officeDocument/2006/relationships/image" Target="media/image32.wmf"/><Relationship Id="rId76" Type="http://schemas.openxmlformats.org/officeDocument/2006/relationships/oleObject" Target="embeddings/oleObject32.bin"/><Relationship Id="rId75" Type="http://schemas.openxmlformats.org/officeDocument/2006/relationships/image" Target="media/image31.wmf"/><Relationship Id="rId74" Type="http://schemas.openxmlformats.org/officeDocument/2006/relationships/oleObject" Target="embeddings/oleObject31.bin"/><Relationship Id="rId73" Type="http://schemas.openxmlformats.org/officeDocument/2006/relationships/image" Target="media/image30.wmf"/><Relationship Id="rId72" Type="http://schemas.openxmlformats.org/officeDocument/2006/relationships/oleObject" Target="embeddings/oleObject30.bin"/><Relationship Id="rId71" Type="http://schemas.openxmlformats.org/officeDocument/2006/relationships/image" Target="media/image29.wmf"/><Relationship Id="rId70" Type="http://schemas.openxmlformats.org/officeDocument/2006/relationships/oleObject" Target="embeddings/oleObject29.bin"/><Relationship Id="rId7" Type="http://schemas.openxmlformats.org/officeDocument/2006/relationships/footer" Target="footer2.xml"/><Relationship Id="rId69" Type="http://schemas.openxmlformats.org/officeDocument/2006/relationships/image" Target="media/image28.wmf"/><Relationship Id="rId68" Type="http://schemas.openxmlformats.org/officeDocument/2006/relationships/oleObject" Target="embeddings/oleObject28.bin"/><Relationship Id="rId67" Type="http://schemas.openxmlformats.org/officeDocument/2006/relationships/image" Target="media/image27.wmf"/><Relationship Id="rId66" Type="http://schemas.openxmlformats.org/officeDocument/2006/relationships/oleObject" Target="embeddings/oleObject27.bin"/><Relationship Id="rId65" Type="http://schemas.openxmlformats.org/officeDocument/2006/relationships/image" Target="media/image26.wmf"/><Relationship Id="rId64" Type="http://schemas.openxmlformats.org/officeDocument/2006/relationships/oleObject" Target="embeddings/oleObject26.bin"/><Relationship Id="rId63" Type="http://schemas.openxmlformats.org/officeDocument/2006/relationships/image" Target="media/image25.wmf"/><Relationship Id="rId62" Type="http://schemas.openxmlformats.org/officeDocument/2006/relationships/oleObject" Target="embeddings/oleObject25.bin"/><Relationship Id="rId61" Type="http://schemas.openxmlformats.org/officeDocument/2006/relationships/image" Target="media/image24.wmf"/><Relationship Id="rId60" Type="http://schemas.openxmlformats.org/officeDocument/2006/relationships/oleObject" Target="embeddings/oleObject24.bin"/><Relationship Id="rId6" Type="http://schemas.openxmlformats.org/officeDocument/2006/relationships/footer" Target="footer1.xml"/><Relationship Id="rId59" Type="http://schemas.openxmlformats.org/officeDocument/2006/relationships/image" Target="media/image23.wmf"/><Relationship Id="rId58" Type="http://schemas.openxmlformats.org/officeDocument/2006/relationships/oleObject" Target="embeddings/oleObject23.bin"/><Relationship Id="rId57" Type="http://schemas.openxmlformats.org/officeDocument/2006/relationships/image" Target="media/image22.wmf"/><Relationship Id="rId56" Type="http://schemas.openxmlformats.org/officeDocument/2006/relationships/oleObject" Target="embeddings/oleObject22.bin"/><Relationship Id="rId55" Type="http://schemas.openxmlformats.org/officeDocument/2006/relationships/image" Target="media/image21.wmf"/><Relationship Id="rId54" Type="http://schemas.openxmlformats.org/officeDocument/2006/relationships/oleObject" Target="embeddings/oleObject21.bin"/><Relationship Id="rId53" Type="http://schemas.openxmlformats.org/officeDocument/2006/relationships/image" Target="media/image20.wmf"/><Relationship Id="rId52" Type="http://schemas.openxmlformats.org/officeDocument/2006/relationships/oleObject" Target="embeddings/oleObject20.bin"/><Relationship Id="rId51" Type="http://schemas.openxmlformats.org/officeDocument/2006/relationships/image" Target="media/image19.wmf"/><Relationship Id="rId50" Type="http://schemas.openxmlformats.org/officeDocument/2006/relationships/oleObject" Target="embeddings/oleObject19.bin"/><Relationship Id="rId5" Type="http://schemas.openxmlformats.org/officeDocument/2006/relationships/header" Target="header3.xml"/><Relationship Id="rId49" Type="http://schemas.openxmlformats.org/officeDocument/2006/relationships/image" Target="media/image18.wmf"/><Relationship Id="rId48" Type="http://schemas.openxmlformats.org/officeDocument/2006/relationships/oleObject" Target="embeddings/oleObject18.bin"/><Relationship Id="rId47" Type="http://schemas.openxmlformats.org/officeDocument/2006/relationships/image" Target="media/image17.wmf"/><Relationship Id="rId46" Type="http://schemas.openxmlformats.org/officeDocument/2006/relationships/oleObject" Target="embeddings/oleObject17.bin"/><Relationship Id="rId45" Type="http://schemas.openxmlformats.org/officeDocument/2006/relationships/image" Target="media/image16.wmf"/><Relationship Id="rId44" Type="http://schemas.openxmlformats.org/officeDocument/2006/relationships/oleObject" Target="embeddings/oleObject16.bin"/><Relationship Id="rId43" Type="http://schemas.openxmlformats.org/officeDocument/2006/relationships/image" Target="media/image15.wmf"/><Relationship Id="rId42" Type="http://schemas.openxmlformats.org/officeDocument/2006/relationships/oleObject" Target="embeddings/oleObject15.bin"/><Relationship Id="rId41" Type="http://schemas.openxmlformats.org/officeDocument/2006/relationships/image" Target="media/image14.wmf"/><Relationship Id="rId40" Type="http://schemas.openxmlformats.org/officeDocument/2006/relationships/oleObject" Target="embeddings/oleObject14.bin"/><Relationship Id="rId4" Type="http://schemas.openxmlformats.org/officeDocument/2006/relationships/header" Target="header2.xml"/><Relationship Id="rId39" Type="http://schemas.openxmlformats.org/officeDocument/2006/relationships/image" Target="media/image13.wmf"/><Relationship Id="rId38" Type="http://schemas.openxmlformats.org/officeDocument/2006/relationships/oleObject" Target="embeddings/oleObject13.bin"/><Relationship Id="rId37" Type="http://schemas.openxmlformats.org/officeDocument/2006/relationships/image" Target="media/image12.wmf"/><Relationship Id="rId36" Type="http://schemas.openxmlformats.org/officeDocument/2006/relationships/oleObject" Target="embeddings/oleObject12.bin"/><Relationship Id="rId35" Type="http://schemas.openxmlformats.org/officeDocument/2006/relationships/image" Target="media/image11.wmf"/><Relationship Id="rId34" Type="http://schemas.openxmlformats.org/officeDocument/2006/relationships/oleObject" Target="embeddings/oleObject11.bin"/><Relationship Id="rId33" Type="http://schemas.openxmlformats.org/officeDocument/2006/relationships/image" Target="media/image10.wmf"/><Relationship Id="rId32" Type="http://schemas.openxmlformats.org/officeDocument/2006/relationships/oleObject" Target="embeddings/oleObject10.bin"/><Relationship Id="rId31" Type="http://schemas.openxmlformats.org/officeDocument/2006/relationships/image" Target="media/image9.wmf"/><Relationship Id="rId30" Type="http://schemas.openxmlformats.org/officeDocument/2006/relationships/oleObject" Target="embeddings/oleObject9.bin"/><Relationship Id="rId3" Type="http://schemas.openxmlformats.org/officeDocument/2006/relationships/header" Target="header1.xml"/><Relationship Id="rId29" Type="http://schemas.openxmlformats.org/officeDocument/2006/relationships/image" Target="media/image8.wmf"/><Relationship Id="rId28" Type="http://schemas.openxmlformats.org/officeDocument/2006/relationships/oleObject" Target="embeddings/oleObject8.bin"/><Relationship Id="rId27" Type="http://schemas.openxmlformats.org/officeDocument/2006/relationships/image" Target="media/image7.wmf"/><Relationship Id="rId26" Type="http://schemas.openxmlformats.org/officeDocument/2006/relationships/oleObject" Target="embeddings/oleObject7.bin"/><Relationship Id="rId25" Type="http://schemas.openxmlformats.org/officeDocument/2006/relationships/image" Target="media/image6.wmf"/><Relationship Id="rId24" Type="http://schemas.openxmlformats.org/officeDocument/2006/relationships/oleObject" Target="embeddings/oleObject6.bin"/><Relationship Id="rId23" Type="http://schemas.openxmlformats.org/officeDocument/2006/relationships/image" Target="media/image5.wmf"/><Relationship Id="rId22" Type="http://schemas.openxmlformats.org/officeDocument/2006/relationships/oleObject" Target="embeddings/oleObject5.bin"/><Relationship Id="rId21" Type="http://schemas.openxmlformats.org/officeDocument/2006/relationships/image" Target="media/image4.wmf"/><Relationship Id="rId20" Type="http://schemas.openxmlformats.org/officeDocument/2006/relationships/oleObject" Target="embeddings/oleObject4.bin"/><Relationship Id="rId2" Type="http://schemas.openxmlformats.org/officeDocument/2006/relationships/settings" Target="settings.xml"/><Relationship Id="rId19" Type="http://schemas.openxmlformats.org/officeDocument/2006/relationships/image" Target="media/image3.wmf"/><Relationship Id="rId18" Type="http://schemas.openxmlformats.org/officeDocument/2006/relationships/oleObject" Target="embeddings/oleObject3.bin"/><Relationship Id="rId17" Type="http://schemas.openxmlformats.org/officeDocument/2006/relationships/image" Target="media/image2.wmf"/><Relationship Id="rId16" Type="http://schemas.openxmlformats.org/officeDocument/2006/relationships/oleObject" Target="embeddings/oleObject2.bin"/><Relationship Id="rId15" Type="http://schemas.openxmlformats.org/officeDocument/2006/relationships/image" Target="media/image1.wmf"/><Relationship Id="rId14" Type="http://schemas.openxmlformats.org/officeDocument/2006/relationships/oleObject" Target="embeddings/oleObject1.bin"/><Relationship Id="rId13" Type="http://schemas.openxmlformats.org/officeDocument/2006/relationships/theme" Target="theme/theme1.xml"/><Relationship Id="rId12" Type="http://schemas.openxmlformats.org/officeDocument/2006/relationships/footer" Target="footer5.xml"/><Relationship Id="rId112" Type="http://schemas.openxmlformats.org/officeDocument/2006/relationships/fontTable" Target="fontTable.xml"/><Relationship Id="rId111" Type="http://schemas.openxmlformats.org/officeDocument/2006/relationships/numbering" Target="numbering.xml"/><Relationship Id="rId110" Type="http://schemas.openxmlformats.org/officeDocument/2006/relationships/customXml" Target="../customXml/item1.xml"/><Relationship Id="rId11" Type="http://schemas.openxmlformats.org/officeDocument/2006/relationships/header" Target="header5.xml"/><Relationship Id="rId109" Type="http://schemas.openxmlformats.org/officeDocument/2006/relationships/oleObject" Target="embeddings/oleObject50.bin"/><Relationship Id="rId108" Type="http://schemas.openxmlformats.org/officeDocument/2006/relationships/oleObject" Target="embeddings/oleObject49.bin"/><Relationship Id="rId107" Type="http://schemas.openxmlformats.org/officeDocument/2006/relationships/oleObject" Target="embeddings/oleObject48.bin"/><Relationship Id="rId106" Type="http://schemas.openxmlformats.org/officeDocument/2006/relationships/oleObject" Target="embeddings/oleObject47.bin"/><Relationship Id="rId105" Type="http://schemas.openxmlformats.org/officeDocument/2006/relationships/image" Target="media/image46.wmf"/><Relationship Id="rId104" Type="http://schemas.openxmlformats.org/officeDocument/2006/relationships/oleObject" Target="embeddings/oleObject46.bin"/><Relationship Id="rId103" Type="http://schemas.openxmlformats.org/officeDocument/2006/relationships/image" Target="media/image45.wmf"/><Relationship Id="rId102" Type="http://schemas.openxmlformats.org/officeDocument/2006/relationships/oleObject" Target="embeddings/oleObject45.bin"/><Relationship Id="rId101" Type="http://schemas.openxmlformats.org/officeDocument/2006/relationships/image" Target="media/image44.wmf"/><Relationship Id="rId100" Type="http://schemas.openxmlformats.org/officeDocument/2006/relationships/oleObject" Target="embeddings/oleObject44.bin"/><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Info spid="_x0000_s3074"/>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73</Pages>
  <Words>9711</Words>
  <Characters>55358</Characters>
  <Lines>461</Lines>
  <Paragraphs>129</Paragraphs>
  <TotalTime>0</TotalTime>
  <ScaleCrop>false</ScaleCrop>
  <LinksUpToDate>false</LinksUpToDate>
  <CharactersWithSpaces>64940</CharactersWithSpaces>
  <Application>WPS Office_10.8.0.5391_F1E327BC-269C-435d-A152-05C5408002CA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2017-09-06T08:53:00Z</dcterms:created>
  <dc:creator>FtpDown</dc:creator>
  <cp:lastModifiedBy>Administrator</cp:lastModifiedBy>
  <cp:lastPrinted>2018-12-18T02:55:00Z</cp:lastPrinted>
  <dcterms:modified xsi:type="dcterms:W3CDTF">2024-05-29T01:09:03Z</dcterms:modified>
  <dc:title>广州市地价状况分析</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y fmtid="{D5CDD505-2E9C-101B-9397-08002B2CF9AE}" pid="3" name="ICV">
    <vt:lpwstr>62888D759EDB4CCB877A46D80D255584_13</vt:lpwstr>
  </property>
</Properties>
</file>